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35C14" w14:textId="45B2BB3E" w:rsidR="00846A97" w:rsidRPr="00846A97" w:rsidRDefault="001D48CD" w:rsidP="00846A97">
      <w:pPr>
        <w:pStyle w:val="Body"/>
        <w:jc w:val="center"/>
        <w:rPr>
          <w:b/>
          <w:sz w:val="24"/>
          <w:szCs w:val="24"/>
        </w:rPr>
      </w:pPr>
      <w:bookmarkStart w:id="0" w:name="_GoBack"/>
      <w:bookmarkEnd w:id="0"/>
      <w:r w:rsidRPr="00846A97">
        <w:rPr>
          <w:b/>
          <w:bCs/>
          <w:sz w:val="24"/>
          <w:szCs w:val="24"/>
        </w:rPr>
        <w:t xml:space="preserve"> </w:t>
      </w:r>
      <w:r w:rsidR="00846A97" w:rsidRPr="00846A97">
        <w:rPr>
          <w:b/>
          <w:sz w:val="24"/>
          <w:szCs w:val="24"/>
        </w:rPr>
        <w:t xml:space="preserve">Proposed Risk Management Guidelines for Light Adjustable Lenses (LAL) </w:t>
      </w:r>
    </w:p>
    <w:p w14:paraId="533FC4AE" w14:textId="568C9ABC" w:rsidR="00D41E3D" w:rsidRDefault="00846A97" w:rsidP="00846A97">
      <w:pPr>
        <w:pStyle w:val="Body"/>
        <w:jc w:val="center"/>
        <w:rPr>
          <w:b/>
          <w:sz w:val="24"/>
          <w:szCs w:val="24"/>
        </w:rPr>
      </w:pPr>
      <w:r w:rsidRPr="00846A97">
        <w:rPr>
          <w:b/>
          <w:sz w:val="24"/>
          <w:szCs w:val="24"/>
        </w:rPr>
        <w:t>Optometrists Performing Post-Op Adjustments</w:t>
      </w:r>
    </w:p>
    <w:p w14:paraId="6B1913A2" w14:textId="3F31699D" w:rsidR="006B1EBB" w:rsidRPr="00846A97" w:rsidRDefault="006B1EBB" w:rsidP="00846A97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Approved 05/05/23</w:t>
      </w:r>
    </w:p>
    <w:p w14:paraId="772E0728" w14:textId="2C040A3B" w:rsidR="00AB411A" w:rsidRPr="00DD07DD" w:rsidRDefault="00AB411A" w:rsidP="00AB411A">
      <w:pPr>
        <w:rPr>
          <w:rFonts w:ascii="Calibri" w:hAnsi="Calibri"/>
        </w:rPr>
      </w:pPr>
      <w:r w:rsidRPr="00DD07DD">
        <w:rPr>
          <w:rFonts w:ascii="Calibri" w:hAnsi="Calibri"/>
        </w:rPr>
        <w:tab/>
      </w:r>
    </w:p>
    <w:p w14:paraId="60CDBF00" w14:textId="17063EE7" w:rsidR="00D41E3D" w:rsidRPr="00DD07DD" w:rsidRDefault="001D48CD">
      <w:pPr>
        <w:pStyle w:val="Body"/>
        <w:rPr>
          <w:b/>
          <w:bCs/>
        </w:rPr>
      </w:pPr>
      <w:r w:rsidRPr="00DD07DD">
        <w:rPr>
          <w:b/>
          <w:bCs/>
        </w:rPr>
        <w:t>1. Preoperative Safety Guidelines</w:t>
      </w:r>
    </w:p>
    <w:p w14:paraId="2E9206E6" w14:textId="77777777" w:rsidR="007D4BD9" w:rsidRDefault="001D48CD" w:rsidP="007D4BD9">
      <w:pPr>
        <w:pStyle w:val="ListParagraph"/>
        <w:numPr>
          <w:ilvl w:val="0"/>
          <w:numId w:val="44"/>
        </w:numPr>
      </w:pPr>
      <w:r w:rsidRPr="00DD07DD">
        <w:t>Patient selection</w:t>
      </w:r>
    </w:p>
    <w:p w14:paraId="43420BBF" w14:textId="62E94866" w:rsidR="00D41E3D" w:rsidRPr="007D4BD9" w:rsidRDefault="001D48CD" w:rsidP="007D4BD9">
      <w:pPr>
        <w:ind w:left="360"/>
        <w:rPr>
          <w:rFonts w:ascii="Calibri" w:hAnsi="Calibri" w:cs="Calibri"/>
          <w:sz w:val="22"/>
          <w:szCs w:val="22"/>
        </w:rPr>
      </w:pPr>
      <w:r w:rsidRPr="007D4BD9">
        <w:rPr>
          <w:rFonts w:ascii="Calibri" w:hAnsi="Calibri" w:cs="Calibri"/>
          <w:sz w:val="22"/>
          <w:szCs w:val="22"/>
        </w:rPr>
        <w:t>Patients must be willing to comply with the postoperative care requirements, including wearing the UV-protective glasses as instructed, keeping all postop visits according to the treatment schedule, and spending the required time at each postop visit. The process is a marathon, not a sprint.</w:t>
      </w:r>
    </w:p>
    <w:p w14:paraId="2A8B5948" w14:textId="77777777" w:rsidR="007D4BD9" w:rsidRPr="00DD07DD" w:rsidRDefault="007D4BD9" w:rsidP="007D4BD9">
      <w:pPr>
        <w:ind w:left="360"/>
      </w:pPr>
    </w:p>
    <w:p w14:paraId="11606FAA" w14:textId="231BC809" w:rsidR="00AC139B" w:rsidRDefault="001D48CD" w:rsidP="007D4BD9">
      <w:pPr>
        <w:pStyle w:val="ListParagraph"/>
        <w:numPr>
          <w:ilvl w:val="0"/>
          <w:numId w:val="44"/>
        </w:numPr>
      </w:pPr>
      <w:r w:rsidRPr="00DD07DD">
        <w:t>Patient education</w:t>
      </w:r>
      <w:r w:rsidR="00AC139B">
        <w:t xml:space="preserve"> </w:t>
      </w:r>
    </w:p>
    <w:p w14:paraId="7AA0F7BA" w14:textId="55ED9B3B" w:rsidR="00AC139B" w:rsidRDefault="00AC139B" w:rsidP="00AC139B">
      <w:pPr>
        <w:pStyle w:val="ListParagraph"/>
        <w:numPr>
          <w:ilvl w:val="1"/>
          <w:numId w:val="43"/>
        </w:numPr>
      </w:pPr>
      <w:r w:rsidRPr="00AC139B">
        <w:rPr>
          <w:rFonts w:cs="Calibri"/>
        </w:rPr>
        <w:t>The operating ophthalmologist should provide an overview of the LAL technology and describe the complete process through the final lock-in visit. If the patient cannot understand or comply with the necessary instructions, the primary caregiver or POA must attend so that they understand the importance of adhering to the postop requirements.</w:t>
      </w:r>
    </w:p>
    <w:p w14:paraId="08D6FA43" w14:textId="6531905E" w:rsidR="00395FB6" w:rsidRPr="00DD07DD" w:rsidRDefault="00AC139B" w:rsidP="00AC139B">
      <w:pPr>
        <w:pStyle w:val="ListParagraph"/>
        <w:numPr>
          <w:ilvl w:val="1"/>
          <w:numId w:val="43"/>
        </w:numPr>
      </w:pPr>
      <w:r w:rsidRPr="00AC139B">
        <w:rPr>
          <w:rFonts w:cs="Calibri"/>
        </w:rPr>
        <w:t xml:space="preserve">Other educational material may be helpful, such as information from the manufacturer </w:t>
      </w:r>
      <w:hyperlink r:id="rId7" w:history="1">
        <w:r w:rsidRPr="00AC139B">
          <w:rPr>
            <w:rStyle w:val="Hyperlink"/>
            <w:rFonts w:cs="Calibri"/>
          </w:rPr>
          <w:t>https://www.rxsight.com/us</w:t>
        </w:r>
      </w:hyperlink>
      <w:r w:rsidRPr="00AC139B">
        <w:rPr>
          <w:rFonts w:cs="Calibri"/>
        </w:rPr>
        <w:t xml:space="preserve">  that can be posted to your website.  </w:t>
      </w:r>
    </w:p>
    <w:p w14:paraId="466AB885" w14:textId="7823E7BF" w:rsidR="00AB411A" w:rsidRPr="00DD07DD" w:rsidRDefault="00FB2068" w:rsidP="007D4BD9">
      <w:pPr>
        <w:pStyle w:val="ListParagraph"/>
        <w:numPr>
          <w:ilvl w:val="0"/>
          <w:numId w:val="44"/>
        </w:numPr>
      </w:pPr>
      <w:r>
        <w:t>Set appropriate expectations</w:t>
      </w:r>
    </w:p>
    <w:p w14:paraId="0735B1B1" w14:textId="43C790F8" w:rsidR="00AB411A" w:rsidRPr="00DD07DD" w:rsidRDefault="00FD1609" w:rsidP="00FB2068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>
        <w:t>V</w:t>
      </w:r>
      <w:r w:rsidR="00AB411A" w:rsidRPr="00DD07DD">
        <w:t xml:space="preserve">isual acuity and refractive correction goals are not guaranteed even with </w:t>
      </w:r>
      <w:r w:rsidR="00FF53E4" w:rsidRPr="00DD07DD">
        <w:t>LAL technology</w:t>
      </w:r>
      <w:r>
        <w:t>.</w:t>
      </w:r>
    </w:p>
    <w:p w14:paraId="31EE91F1" w14:textId="232598DC" w:rsidR="00AB411A" w:rsidRPr="00DD07DD" w:rsidRDefault="00FB2068" w:rsidP="00FB2068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>
        <w:t>T</w:t>
      </w:r>
      <w:r w:rsidR="00AB411A" w:rsidRPr="00DD07DD">
        <w:t>he patient may still need reading and/or distance glasses</w:t>
      </w:r>
      <w:r w:rsidR="00FD1609">
        <w:t>.</w:t>
      </w:r>
    </w:p>
    <w:p w14:paraId="38C582F6" w14:textId="6A092736" w:rsidR="007D4BD9" w:rsidRDefault="00FD1609" w:rsidP="007D4BD9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>
        <w:t>Anticipated costs are not covered by insurance.</w:t>
      </w:r>
    </w:p>
    <w:p w14:paraId="2FDA9435" w14:textId="001EF02B" w:rsidR="007D4BD9" w:rsidRDefault="007D4BD9" w:rsidP="007D4B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</w:p>
    <w:p w14:paraId="0C677B98" w14:textId="41F4F605" w:rsidR="007D4BD9" w:rsidRDefault="007D4BD9" w:rsidP="007D4BD9">
      <w:pPr>
        <w:pStyle w:val="ListParagraph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 w:rsidRPr="00DD07DD">
        <w:t xml:space="preserve">Informed </w:t>
      </w:r>
      <w:r>
        <w:t>c</w:t>
      </w:r>
      <w:r w:rsidRPr="00DD07DD">
        <w:t>onsent</w:t>
      </w:r>
    </w:p>
    <w:p w14:paraId="74BD579A" w14:textId="2542EF17" w:rsidR="007D4BD9" w:rsidRPr="00DD07DD" w:rsidRDefault="008830C9" w:rsidP="007D4BD9">
      <w:pPr>
        <w:pStyle w:val="Body"/>
        <w:numPr>
          <w:ilvl w:val="0"/>
          <w:numId w:val="32"/>
        </w:numPr>
      </w:pPr>
      <w:r>
        <w:t xml:space="preserve">Use </w:t>
      </w:r>
      <w:proofErr w:type="gramStart"/>
      <w:r>
        <w:t>an</w:t>
      </w:r>
      <w:proofErr w:type="gramEnd"/>
      <w:r>
        <w:t xml:space="preserve"> LAL-specific informed consent </w:t>
      </w:r>
      <w:r w:rsidRPr="00FD1609">
        <w:rPr>
          <w:i/>
          <w:highlight w:val="yellow"/>
        </w:rPr>
        <w:t>link to OMIC consent</w:t>
      </w:r>
    </w:p>
    <w:p w14:paraId="094C12E5" w14:textId="27073442" w:rsidR="006B0003" w:rsidRDefault="00FD1609" w:rsidP="006B0003">
      <w:pPr>
        <w:pStyle w:val="Body"/>
        <w:numPr>
          <w:ilvl w:val="0"/>
          <w:numId w:val="32"/>
        </w:numPr>
      </w:pPr>
      <w:r>
        <w:t>O</w:t>
      </w:r>
      <w:r w:rsidR="00DD07DD" w:rsidRPr="00DD07DD">
        <w:t xml:space="preserve">btain </w:t>
      </w:r>
      <w:r w:rsidR="00DD07DD">
        <w:t xml:space="preserve">the </w:t>
      </w:r>
      <w:r w:rsidR="00DD07DD" w:rsidRPr="00DD07DD">
        <w:t>patient</w:t>
      </w:r>
      <w:r w:rsidR="00DD07DD" w:rsidRPr="00DD07DD">
        <w:rPr>
          <w:rtl/>
        </w:rPr>
        <w:t>’</w:t>
      </w:r>
      <w:r w:rsidR="00DD07DD" w:rsidRPr="00DD07DD">
        <w:t xml:space="preserve">s consent </w:t>
      </w:r>
      <w:r w:rsidR="00DD07DD">
        <w:t xml:space="preserve">to </w:t>
      </w:r>
      <w:proofErr w:type="spellStart"/>
      <w:r w:rsidR="00DD07DD">
        <w:t>co</w:t>
      </w:r>
      <w:r w:rsidR="00FB2068">
        <w:t>management</w:t>
      </w:r>
      <w:proofErr w:type="spellEnd"/>
      <w:r w:rsidR="00FB2068">
        <w:t>.</w:t>
      </w:r>
    </w:p>
    <w:p w14:paraId="221ED868" w14:textId="6B460EA9" w:rsidR="006B0003" w:rsidRDefault="006B0003" w:rsidP="006B0003">
      <w:pPr>
        <w:pStyle w:val="Body"/>
        <w:numPr>
          <w:ilvl w:val="0"/>
          <w:numId w:val="44"/>
        </w:numPr>
      </w:pPr>
      <w:r>
        <w:t>Staff</w:t>
      </w:r>
      <w:r w:rsidRPr="006B0003">
        <w:t xml:space="preserve"> </w:t>
      </w:r>
      <w:r w:rsidRPr="00DD07DD">
        <w:t>education and office flow</w:t>
      </w:r>
      <w:r>
        <w:t xml:space="preserve">    </w:t>
      </w:r>
    </w:p>
    <w:p w14:paraId="1B957D0C" w14:textId="0DF9D9F8" w:rsidR="005674AB" w:rsidRDefault="005674AB" w:rsidP="005674AB">
      <w:pPr>
        <w:pStyle w:val="Body"/>
        <w:numPr>
          <w:ilvl w:val="0"/>
          <w:numId w:val="30"/>
        </w:numPr>
      </w:pPr>
      <w:r>
        <w:t xml:space="preserve">Educate staff regarding the LAL protocol and billing/coding. </w:t>
      </w:r>
      <w:r w:rsidRPr="00D4314D">
        <w:rPr>
          <w:rFonts w:cs="Arial"/>
          <w:shd w:val="clear" w:color="auto" w:fill="FFFFFF"/>
        </w:rPr>
        <w:t>Visit</w:t>
      </w:r>
      <w:r w:rsidRPr="00D4314D">
        <w:rPr>
          <w:rFonts w:cs="Arial"/>
          <w:sz w:val="23"/>
          <w:szCs w:val="23"/>
          <w:shd w:val="clear" w:color="auto" w:fill="FFFFFF"/>
        </w:rPr>
        <w:t> </w:t>
      </w:r>
      <w:hyperlink r:id="rId8" w:history="1">
        <w:r w:rsidRPr="00D4314D">
          <w:rPr>
            <w:rStyle w:val="Hyperlink"/>
            <w:rFonts w:cs="Arial"/>
            <w:color w:val="557AB5"/>
            <w:sz w:val="23"/>
            <w:szCs w:val="23"/>
            <w:shd w:val="clear" w:color="auto" w:fill="FFFFFF"/>
          </w:rPr>
          <w:t>aao.org/coding</w:t>
        </w:r>
      </w:hyperlink>
      <w:r w:rsidRPr="00D4314D">
        <w:rPr>
          <w:rFonts w:cs="Arial"/>
          <w:sz w:val="23"/>
          <w:szCs w:val="23"/>
          <w:shd w:val="clear" w:color="auto" w:fill="FFFFFF"/>
        </w:rPr>
        <w:t> </w:t>
      </w:r>
      <w:r w:rsidRPr="00D4314D">
        <w:rPr>
          <w:rFonts w:cs="Arial"/>
          <w:shd w:val="clear" w:color="auto" w:fill="FFFFFF"/>
        </w:rPr>
        <w:t xml:space="preserve">for </w:t>
      </w:r>
      <w:r>
        <w:rPr>
          <w:rFonts w:cs="Arial"/>
          <w:shd w:val="clear" w:color="auto" w:fill="FFFFFF"/>
        </w:rPr>
        <w:t>more information.</w:t>
      </w:r>
    </w:p>
    <w:p w14:paraId="29D6D8BA" w14:textId="4447DB5A" w:rsidR="00FB2068" w:rsidRDefault="00DD07DD" w:rsidP="005674AB">
      <w:pPr>
        <w:pStyle w:val="Body"/>
        <w:numPr>
          <w:ilvl w:val="0"/>
          <w:numId w:val="47"/>
        </w:numPr>
      </w:pPr>
      <w:r w:rsidRPr="00DD07DD">
        <w:t xml:space="preserve">Review </w:t>
      </w:r>
      <w:r w:rsidR="00B70614">
        <w:t xml:space="preserve">office workflows </w:t>
      </w:r>
      <w:r w:rsidRPr="00DD07DD">
        <w:t xml:space="preserve">and adjust </w:t>
      </w:r>
      <w:r w:rsidR="00B70614">
        <w:t>as</w:t>
      </w:r>
      <w:r w:rsidRPr="00DD07DD">
        <w:t xml:space="preserve"> necessary due to</w:t>
      </w:r>
      <w:r>
        <w:t xml:space="preserve"> the</w:t>
      </w:r>
      <w:r w:rsidRPr="00DD07DD">
        <w:t xml:space="preserve"> impact of more a</w:t>
      </w:r>
      <w:r>
        <w:t>nd longer-lasting postop visits</w:t>
      </w:r>
      <w:r w:rsidR="00FD1609">
        <w:t xml:space="preserve"> as compared to non-LAL cataract surgery.</w:t>
      </w:r>
    </w:p>
    <w:p w14:paraId="7E995208" w14:textId="77777777" w:rsidR="00395FB6" w:rsidRDefault="00395FB6">
      <w:pPr>
        <w:pStyle w:val="Body"/>
        <w:rPr>
          <w:b/>
          <w:bCs/>
        </w:rPr>
      </w:pPr>
    </w:p>
    <w:p w14:paraId="19006FE7" w14:textId="77777777" w:rsidR="00FD1609" w:rsidRDefault="00FD1609">
      <w:pPr>
        <w:pStyle w:val="Body"/>
        <w:rPr>
          <w:b/>
          <w:bCs/>
        </w:rPr>
      </w:pPr>
    </w:p>
    <w:p w14:paraId="4E6F4C52" w14:textId="77777777" w:rsidR="00FD1609" w:rsidRDefault="00FD1609">
      <w:pPr>
        <w:pStyle w:val="Body"/>
        <w:rPr>
          <w:b/>
          <w:bCs/>
        </w:rPr>
      </w:pPr>
    </w:p>
    <w:p w14:paraId="4D349D99" w14:textId="128D3678" w:rsidR="001B6739" w:rsidRDefault="001D48CD">
      <w:pPr>
        <w:pStyle w:val="Body"/>
        <w:rPr>
          <w:b/>
          <w:bCs/>
        </w:rPr>
      </w:pPr>
      <w:r w:rsidRPr="00DD07DD">
        <w:rPr>
          <w:b/>
          <w:bCs/>
        </w:rPr>
        <w:t xml:space="preserve">2. Postoperative </w:t>
      </w:r>
      <w:r w:rsidR="00AF050E">
        <w:rPr>
          <w:b/>
          <w:bCs/>
        </w:rPr>
        <w:t xml:space="preserve">Light </w:t>
      </w:r>
      <w:r w:rsidRPr="00DD07DD">
        <w:rPr>
          <w:b/>
          <w:bCs/>
        </w:rPr>
        <w:t>Adjustments</w:t>
      </w:r>
    </w:p>
    <w:p w14:paraId="4124F349" w14:textId="34BD4CC0" w:rsidR="00655BF9" w:rsidRDefault="001B54C3" w:rsidP="008830C9">
      <w:pPr>
        <w:pStyle w:val="Body"/>
      </w:pPr>
      <w:r>
        <w:t>Post-op LAL adjustments may be performed by an optometrist (OD), provided that:</w:t>
      </w:r>
    </w:p>
    <w:p w14:paraId="5162E4A2" w14:textId="03C42B1A" w:rsidR="00655BF9" w:rsidRDefault="008830C9" w:rsidP="00655BF9">
      <w:pPr>
        <w:pStyle w:val="Body"/>
        <w:ind w:left="720"/>
      </w:pPr>
      <w:r>
        <w:t xml:space="preserve">a. </w:t>
      </w:r>
      <w:r w:rsidR="001B54C3">
        <w:t xml:space="preserve">The OD is an employee of the insured ophthalmologist/OMIC practice. </w:t>
      </w:r>
    </w:p>
    <w:p w14:paraId="645F7C9B" w14:textId="10425652" w:rsidR="001B54C3" w:rsidRDefault="001B54C3" w:rsidP="00655BF9">
      <w:pPr>
        <w:pStyle w:val="Body"/>
        <w:ind w:left="720"/>
      </w:pPr>
      <w:r>
        <w:t>b. The state law where the service is rendered does not preclude optometrists from performing LAL</w:t>
      </w:r>
      <w:r w:rsidR="00655BF9">
        <w:t xml:space="preserve"> </w:t>
      </w:r>
      <w:r>
        <w:t xml:space="preserve">adjustments. </w:t>
      </w:r>
    </w:p>
    <w:p w14:paraId="2995B146" w14:textId="13380904" w:rsidR="001B54C3" w:rsidRDefault="001B54C3" w:rsidP="00655BF9">
      <w:pPr>
        <w:pStyle w:val="Body"/>
        <w:ind w:left="720"/>
      </w:pPr>
      <w:r>
        <w:t xml:space="preserve">c. The OD has full and appropriate licensure for the state in which the service is rendered. </w:t>
      </w:r>
    </w:p>
    <w:p w14:paraId="4700E108" w14:textId="695F7C40" w:rsidR="001B54C3" w:rsidRDefault="001B54C3" w:rsidP="00655BF9">
      <w:pPr>
        <w:pStyle w:val="Body"/>
        <w:ind w:left="720"/>
      </w:pPr>
      <w:r>
        <w:t xml:space="preserve">d. The OD is fully trained by </w:t>
      </w:r>
      <w:r w:rsidR="00FD1609">
        <w:t xml:space="preserve">the </w:t>
      </w:r>
      <w:r>
        <w:t xml:space="preserve">manufacturer or via a similar training program. </w:t>
      </w:r>
    </w:p>
    <w:p w14:paraId="38084496" w14:textId="71343756" w:rsidR="001B54C3" w:rsidRDefault="001B54C3" w:rsidP="00655BF9">
      <w:pPr>
        <w:pStyle w:val="Body"/>
        <w:ind w:left="720"/>
      </w:pPr>
      <w:r>
        <w:t xml:space="preserve">e. An MD/DO (fully trained in the procedure) is immediately available on-site or electronically to assist with LAL adjustment-related problems or questions. </w:t>
      </w:r>
    </w:p>
    <w:p w14:paraId="4CB4C1C9" w14:textId="1AF66821" w:rsidR="001B54C3" w:rsidRDefault="008830C9" w:rsidP="00655BF9">
      <w:pPr>
        <w:pStyle w:val="Body"/>
        <w:ind w:left="720"/>
      </w:pPr>
      <w:r>
        <w:t xml:space="preserve"> </w:t>
      </w:r>
      <w:r w:rsidR="001B54C3">
        <w:t>f. The patient consents in writing to the performance of post-op LAL adjustments by an OD.</w:t>
      </w:r>
    </w:p>
    <w:sectPr w:rsidR="001B54C3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1081C" w14:textId="77777777" w:rsidR="003D4FB5" w:rsidRDefault="003D4FB5">
      <w:r>
        <w:separator/>
      </w:r>
    </w:p>
  </w:endnote>
  <w:endnote w:type="continuationSeparator" w:id="0">
    <w:p w14:paraId="740393B2" w14:textId="77777777" w:rsidR="003D4FB5" w:rsidRDefault="003D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77DED" w14:textId="5FAF831D" w:rsidR="00D41E3D" w:rsidRDefault="001D48CD">
    <w:pPr>
      <w:pStyle w:val="Footer"/>
      <w:tabs>
        <w:tab w:val="clear" w:pos="9360"/>
        <w:tab w:val="right" w:pos="934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6B1EB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A424A" w14:textId="77777777" w:rsidR="003D4FB5" w:rsidRDefault="003D4FB5">
      <w:r>
        <w:separator/>
      </w:r>
    </w:p>
  </w:footnote>
  <w:footnote w:type="continuationSeparator" w:id="0">
    <w:p w14:paraId="3FE4C09C" w14:textId="77777777" w:rsidR="003D4FB5" w:rsidRDefault="003D4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1C8"/>
    <w:multiLevelType w:val="hybridMultilevel"/>
    <w:tmpl w:val="C80A9AAA"/>
    <w:lvl w:ilvl="0" w:tplc="D84EB77A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C5696"/>
    <w:multiLevelType w:val="hybridMultilevel"/>
    <w:tmpl w:val="A3D46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187078"/>
    <w:multiLevelType w:val="hybridMultilevel"/>
    <w:tmpl w:val="02502D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84416"/>
    <w:multiLevelType w:val="hybridMultilevel"/>
    <w:tmpl w:val="74B84192"/>
    <w:styleLink w:val="ImportedStyle2"/>
    <w:lvl w:ilvl="0" w:tplc="032293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F8339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76E9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40E6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B8CE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2C3A1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8801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0E22D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809E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AD6763A"/>
    <w:multiLevelType w:val="hybridMultilevel"/>
    <w:tmpl w:val="1B143946"/>
    <w:numStyleLink w:val="ImportedStyle1"/>
  </w:abstractNum>
  <w:abstractNum w:abstractNumId="5" w15:restartNumberingAfterBreak="0">
    <w:nsid w:val="0FD51212"/>
    <w:multiLevelType w:val="hybridMultilevel"/>
    <w:tmpl w:val="13B8C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0D4375"/>
    <w:multiLevelType w:val="hybridMultilevel"/>
    <w:tmpl w:val="3C34EB2A"/>
    <w:lvl w:ilvl="0" w:tplc="D84EB77A">
      <w:start w:val="1"/>
      <w:numFmt w:val="bullet"/>
      <w:lvlText w:val="o"/>
      <w:lvlJc w:val="left"/>
      <w:pPr>
        <w:ind w:left="144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7" w15:restartNumberingAfterBreak="0">
    <w:nsid w:val="11E07653"/>
    <w:multiLevelType w:val="hybridMultilevel"/>
    <w:tmpl w:val="1B143946"/>
    <w:styleLink w:val="ImportedStyle1"/>
    <w:lvl w:ilvl="0" w:tplc="B2862EF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9AED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72F9E4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C4C5D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FC6C6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8CFA62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52D54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D0D0F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BA8558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1FD4536"/>
    <w:multiLevelType w:val="hybridMultilevel"/>
    <w:tmpl w:val="E5048AAE"/>
    <w:lvl w:ilvl="0" w:tplc="D84EB77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231810"/>
    <w:multiLevelType w:val="hybridMultilevel"/>
    <w:tmpl w:val="929032D4"/>
    <w:lvl w:ilvl="0" w:tplc="77624F68">
      <w:start w:val="1"/>
      <w:numFmt w:val="lowerRoman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2603F"/>
    <w:multiLevelType w:val="hybridMultilevel"/>
    <w:tmpl w:val="58E0E5C0"/>
    <w:lvl w:ilvl="0" w:tplc="D84EB7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AA735D"/>
    <w:multiLevelType w:val="hybridMultilevel"/>
    <w:tmpl w:val="0BE80040"/>
    <w:lvl w:ilvl="0" w:tplc="D84EB77A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9CA65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A721602"/>
    <w:multiLevelType w:val="hybridMultilevel"/>
    <w:tmpl w:val="8A1A6C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EF063E3"/>
    <w:multiLevelType w:val="hybridMultilevel"/>
    <w:tmpl w:val="78F00D0C"/>
    <w:lvl w:ilvl="0" w:tplc="D84EB77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BC3E4E"/>
    <w:multiLevelType w:val="hybridMultilevel"/>
    <w:tmpl w:val="0EE84174"/>
    <w:lvl w:ilvl="0" w:tplc="D84EB77A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46A31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2034C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A289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ACB7E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E4EE5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0A26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A44A3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357526A"/>
    <w:multiLevelType w:val="hybridMultilevel"/>
    <w:tmpl w:val="C734C106"/>
    <w:lvl w:ilvl="0" w:tplc="D84EB7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034BCA"/>
    <w:multiLevelType w:val="hybridMultilevel"/>
    <w:tmpl w:val="79D20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1E10DA"/>
    <w:multiLevelType w:val="hybridMultilevel"/>
    <w:tmpl w:val="5786147C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9" w15:restartNumberingAfterBreak="0">
    <w:nsid w:val="38426C0B"/>
    <w:multiLevelType w:val="hybridMultilevel"/>
    <w:tmpl w:val="561CF7D2"/>
    <w:lvl w:ilvl="0" w:tplc="D84EB77A">
      <w:start w:val="1"/>
      <w:numFmt w:val="bullet"/>
      <w:lvlText w:val="o"/>
      <w:lvlJc w:val="left"/>
      <w:pPr>
        <w:ind w:left="144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0" w15:restartNumberingAfterBreak="0">
    <w:nsid w:val="392218FC"/>
    <w:multiLevelType w:val="hybridMultilevel"/>
    <w:tmpl w:val="6E0C415A"/>
    <w:lvl w:ilvl="0" w:tplc="D84EB7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5B23CF"/>
    <w:multiLevelType w:val="hybridMultilevel"/>
    <w:tmpl w:val="CC1834BC"/>
    <w:lvl w:ilvl="0" w:tplc="D84EB77A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53A0CF6"/>
    <w:multiLevelType w:val="hybridMultilevel"/>
    <w:tmpl w:val="E5382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F613E"/>
    <w:multiLevelType w:val="hybridMultilevel"/>
    <w:tmpl w:val="B504D742"/>
    <w:numStyleLink w:val="ImportedStyle3"/>
  </w:abstractNum>
  <w:abstractNum w:abstractNumId="24" w15:restartNumberingAfterBreak="0">
    <w:nsid w:val="46E74660"/>
    <w:multiLevelType w:val="hybridMultilevel"/>
    <w:tmpl w:val="49AA527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85487"/>
    <w:multiLevelType w:val="hybridMultilevel"/>
    <w:tmpl w:val="276CD0DC"/>
    <w:lvl w:ilvl="0" w:tplc="D84EB77A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CCF6822"/>
    <w:multiLevelType w:val="hybridMultilevel"/>
    <w:tmpl w:val="BBEE1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8C774D"/>
    <w:multiLevelType w:val="hybridMultilevel"/>
    <w:tmpl w:val="1C181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6A3C4A"/>
    <w:multiLevelType w:val="hybridMultilevel"/>
    <w:tmpl w:val="51BAE098"/>
    <w:lvl w:ilvl="0" w:tplc="D84EB77A">
      <w:start w:val="1"/>
      <w:numFmt w:val="bullet"/>
      <w:lvlText w:val="o"/>
      <w:lvlJc w:val="left"/>
      <w:pPr>
        <w:ind w:left="144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9" w15:restartNumberingAfterBreak="0">
    <w:nsid w:val="56874BA4"/>
    <w:multiLevelType w:val="hybridMultilevel"/>
    <w:tmpl w:val="A216CD4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F17D79"/>
    <w:multiLevelType w:val="hybridMultilevel"/>
    <w:tmpl w:val="9F946E58"/>
    <w:lvl w:ilvl="0" w:tplc="D84EB77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FF1C21"/>
    <w:multiLevelType w:val="hybridMultilevel"/>
    <w:tmpl w:val="B504D742"/>
    <w:styleLink w:val="ImportedStyle3"/>
    <w:lvl w:ilvl="0" w:tplc="A3E2AA24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2621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50541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52E8A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D6BC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7E8CE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DE8A8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54FE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46DAC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F481F9E"/>
    <w:multiLevelType w:val="hybridMultilevel"/>
    <w:tmpl w:val="473C4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AB21BB"/>
    <w:multiLevelType w:val="hybridMultilevel"/>
    <w:tmpl w:val="B5841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117A93"/>
    <w:multiLevelType w:val="hybridMultilevel"/>
    <w:tmpl w:val="6DC6D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3F57A4F"/>
    <w:multiLevelType w:val="hybridMultilevel"/>
    <w:tmpl w:val="AD3EB47C"/>
    <w:lvl w:ilvl="0" w:tplc="D84EB7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3A6115"/>
    <w:multiLevelType w:val="hybridMultilevel"/>
    <w:tmpl w:val="66DEECAE"/>
    <w:lvl w:ilvl="0" w:tplc="D84EB7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89431AE"/>
    <w:multiLevelType w:val="hybridMultilevel"/>
    <w:tmpl w:val="1576C892"/>
    <w:lvl w:ilvl="0" w:tplc="D84EB77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A13601"/>
    <w:multiLevelType w:val="hybridMultilevel"/>
    <w:tmpl w:val="0BD2BFCE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9" w15:restartNumberingAfterBreak="0">
    <w:nsid w:val="6D7A2CD9"/>
    <w:multiLevelType w:val="hybridMultilevel"/>
    <w:tmpl w:val="5D2249C4"/>
    <w:lvl w:ilvl="0" w:tplc="D84EB77A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EB77A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FE32469"/>
    <w:multiLevelType w:val="hybridMultilevel"/>
    <w:tmpl w:val="0CFEABAE"/>
    <w:lvl w:ilvl="0" w:tplc="D84EB77A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7542C3E"/>
    <w:multiLevelType w:val="hybridMultilevel"/>
    <w:tmpl w:val="8654B1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80053"/>
    <w:multiLevelType w:val="hybridMultilevel"/>
    <w:tmpl w:val="C9067B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CC43D24"/>
    <w:multiLevelType w:val="hybridMultilevel"/>
    <w:tmpl w:val="B9FC6D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CCA12A4"/>
    <w:multiLevelType w:val="hybridMultilevel"/>
    <w:tmpl w:val="74B84192"/>
    <w:numStyleLink w:val="ImportedStyle2"/>
  </w:abstractNum>
  <w:abstractNum w:abstractNumId="45" w15:restartNumberingAfterBreak="0">
    <w:nsid w:val="7D416E5F"/>
    <w:multiLevelType w:val="hybridMultilevel"/>
    <w:tmpl w:val="B3706FD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6" w15:restartNumberingAfterBreak="0">
    <w:nsid w:val="7E2C301D"/>
    <w:multiLevelType w:val="hybridMultilevel"/>
    <w:tmpl w:val="064AA3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F2A3BB9"/>
    <w:multiLevelType w:val="hybridMultilevel"/>
    <w:tmpl w:val="B2782C90"/>
    <w:lvl w:ilvl="0" w:tplc="D84EB77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44"/>
  </w:num>
  <w:num w:numId="5">
    <w:abstractNumId w:val="31"/>
  </w:num>
  <w:num w:numId="6">
    <w:abstractNumId w:val="23"/>
  </w:num>
  <w:num w:numId="7">
    <w:abstractNumId w:val="9"/>
  </w:num>
  <w:num w:numId="8">
    <w:abstractNumId w:val="29"/>
  </w:num>
  <w:num w:numId="9">
    <w:abstractNumId w:val="27"/>
  </w:num>
  <w:num w:numId="10">
    <w:abstractNumId w:val="18"/>
  </w:num>
  <w:num w:numId="11">
    <w:abstractNumId w:val="22"/>
  </w:num>
  <w:num w:numId="12">
    <w:abstractNumId w:val="35"/>
  </w:num>
  <w:num w:numId="13">
    <w:abstractNumId w:val="45"/>
  </w:num>
  <w:num w:numId="14">
    <w:abstractNumId w:val="38"/>
  </w:num>
  <w:num w:numId="15">
    <w:abstractNumId w:val="43"/>
  </w:num>
  <w:num w:numId="16">
    <w:abstractNumId w:val="32"/>
  </w:num>
  <w:num w:numId="17">
    <w:abstractNumId w:val="15"/>
  </w:num>
  <w:num w:numId="18">
    <w:abstractNumId w:val="39"/>
  </w:num>
  <w:num w:numId="19">
    <w:abstractNumId w:val="24"/>
  </w:num>
  <w:num w:numId="20">
    <w:abstractNumId w:val="30"/>
  </w:num>
  <w:num w:numId="21">
    <w:abstractNumId w:val="41"/>
  </w:num>
  <w:num w:numId="22">
    <w:abstractNumId w:val="20"/>
  </w:num>
  <w:num w:numId="23">
    <w:abstractNumId w:val="33"/>
  </w:num>
  <w:num w:numId="24">
    <w:abstractNumId w:val="5"/>
  </w:num>
  <w:num w:numId="25">
    <w:abstractNumId w:val="46"/>
  </w:num>
  <w:num w:numId="26">
    <w:abstractNumId w:val="17"/>
  </w:num>
  <w:num w:numId="27">
    <w:abstractNumId w:val="6"/>
  </w:num>
  <w:num w:numId="28">
    <w:abstractNumId w:val="10"/>
  </w:num>
  <w:num w:numId="29">
    <w:abstractNumId w:val="19"/>
  </w:num>
  <w:num w:numId="30">
    <w:abstractNumId w:val="42"/>
  </w:num>
  <w:num w:numId="31">
    <w:abstractNumId w:val="14"/>
  </w:num>
  <w:num w:numId="32">
    <w:abstractNumId w:val="13"/>
  </w:num>
  <w:num w:numId="33">
    <w:abstractNumId w:val="37"/>
  </w:num>
  <w:num w:numId="34">
    <w:abstractNumId w:val="8"/>
  </w:num>
  <w:num w:numId="35">
    <w:abstractNumId w:val="1"/>
  </w:num>
  <w:num w:numId="36">
    <w:abstractNumId w:val="28"/>
  </w:num>
  <w:num w:numId="37">
    <w:abstractNumId w:val="0"/>
  </w:num>
  <w:num w:numId="38">
    <w:abstractNumId w:val="47"/>
  </w:num>
  <w:num w:numId="39">
    <w:abstractNumId w:val="11"/>
  </w:num>
  <w:num w:numId="40">
    <w:abstractNumId w:val="36"/>
  </w:num>
  <w:num w:numId="41">
    <w:abstractNumId w:val="21"/>
  </w:num>
  <w:num w:numId="42">
    <w:abstractNumId w:val="40"/>
  </w:num>
  <w:num w:numId="43">
    <w:abstractNumId w:val="26"/>
  </w:num>
  <w:num w:numId="44">
    <w:abstractNumId w:val="2"/>
  </w:num>
  <w:num w:numId="45">
    <w:abstractNumId w:val="16"/>
  </w:num>
  <w:num w:numId="46">
    <w:abstractNumId w:val="25"/>
  </w:num>
  <w:num w:numId="47">
    <w:abstractNumId w:val="34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E3D"/>
    <w:rsid w:val="00105093"/>
    <w:rsid w:val="00157C7D"/>
    <w:rsid w:val="001B54C3"/>
    <w:rsid w:val="001B6739"/>
    <w:rsid w:val="001C08B6"/>
    <w:rsid w:val="001D48CD"/>
    <w:rsid w:val="00225888"/>
    <w:rsid w:val="003166F8"/>
    <w:rsid w:val="00327031"/>
    <w:rsid w:val="00343D17"/>
    <w:rsid w:val="00395FB6"/>
    <w:rsid w:val="003D4FB5"/>
    <w:rsid w:val="00554D0A"/>
    <w:rsid w:val="005674AB"/>
    <w:rsid w:val="0059315A"/>
    <w:rsid w:val="005E589A"/>
    <w:rsid w:val="00655BF9"/>
    <w:rsid w:val="00671657"/>
    <w:rsid w:val="006B0003"/>
    <w:rsid w:val="006B1EBB"/>
    <w:rsid w:val="006C6229"/>
    <w:rsid w:val="006D3755"/>
    <w:rsid w:val="00775A31"/>
    <w:rsid w:val="007931BE"/>
    <w:rsid w:val="007D4BD9"/>
    <w:rsid w:val="00846A97"/>
    <w:rsid w:val="008830C9"/>
    <w:rsid w:val="009861E0"/>
    <w:rsid w:val="00A758E6"/>
    <w:rsid w:val="00A9259E"/>
    <w:rsid w:val="00AB411A"/>
    <w:rsid w:val="00AC139B"/>
    <w:rsid w:val="00AD47B2"/>
    <w:rsid w:val="00AF050E"/>
    <w:rsid w:val="00B00CFC"/>
    <w:rsid w:val="00B70614"/>
    <w:rsid w:val="00BE4EC7"/>
    <w:rsid w:val="00CC77D1"/>
    <w:rsid w:val="00CE2618"/>
    <w:rsid w:val="00D41E3D"/>
    <w:rsid w:val="00D4314D"/>
    <w:rsid w:val="00DD07DD"/>
    <w:rsid w:val="00DE31FF"/>
    <w:rsid w:val="00E63C92"/>
    <w:rsid w:val="00E7680B"/>
    <w:rsid w:val="00F92CEE"/>
    <w:rsid w:val="00FB2068"/>
    <w:rsid w:val="00FB214C"/>
    <w:rsid w:val="00FD1609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4C70A"/>
  <w15:docId w15:val="{BEC750FB-6053-4F72-B7C8-213A13CF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C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o.org/practice-management/cod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xsight.com/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Harrison</dc:creator>
  <cp:lastModifiedBy>Michelle Pineda</cp:lastModifiedBy>
  <cp:revision>2</cp:revision>
  <dcterms:created xsi:type="dcterms:W3CDTF">2023-05-24T17:48:00Z</dcterms:created>
  <dcterms:modified xsi:type="dcterms:W3CDTF">2023-05-24T17:48:00Z</dcterms:modified>
</cp:coreProperties>
</file>