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1228" w14:textId="77777777" w:rsidR="00FB18FD" w:rsidRDefault="00D26BC8">
      <w:pPr>
        <w:pStyle w:val="BodyText"/>
        <w:ind w:left="0" w:firstLine="0"/>
        <w:rPr>
          <w:rFonts w:ascii="Times New Roman"/>
          <w:sz w:val="20"/>
        </w:rPr>
      </w:pPr>
      <w:r>
        <w:rPr>
          <w:noProof/>
          <w:lang w:bidi="ar-SA"/>
        </w:rPr>
        <w:drawing>
          <wp:anchor distT="0" distB="0" distL="0" distR="0" simplePos="0" relativeHeight="251659264" behindDoc="0" locked="0" layoutInCell="1" allowOverlap="1" wp14:anchorId="7A9BE5D4" wp14:editId="49CCE0A3">
            <wp:simplePos x="0" y="0"/>
            <wp:positionH relativeFrom="page">
              <wp:posOffset>0</wp:posOffset>
            </wp:positionH>
            <wp:positionV relativeFrom="page">
              <wp:posOffset>914400</wp:posOffset>
            </wp:positionV>
            <wp:extent cx="7772399" cy="895984"/>
            <wp:effectExtent l="0" t="0" r="0" b="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72399" cy="895984"/>
                    </a:xfrm>
                    <a:prstGeom prst="rect">
                      <a:avLst/>
                    </a:prstGeom>
                  </pic:spPr>
                </pic:pic>
              </a:graphicData>
            </a:graphic>
          </wp:anchor>
        </w:drawing>
      </w:r>
    </w:p>
    <w:p w14:paraId="5AC04034" w14:textId="77777777" w:rsidR="00FB18FD" w:rsidRDefault="00FB18FD">
      <w:pPr>
        <w:pStyle w:val="BodyText"/>
        <w:ind w:left="0" w:firstLine="0"/>
        <w:rPr>
          <w:rFonts w:ascii="Times New Roman"/>
          <w:sz w:val="20"/>
        </w:rPr>
      </w:pPr>
    </w:p>
    <w:p w14:paraId="1C6BE329" w14:textId="77777777" w:rsidR="00FB18FD" w:rsidRDefault="00FB18FD">
      <w:pPr>
        <w:pStyle w:val="BodyText"/>
        <w:ind w:left="0" w:firstLine="0"/>
        <w:rPr>
          <w:rFonts w:ascii="Times New Roman"/>
          <w:sz w:val="20"/>
        </w:rPr>
      </w:pPr>
    </w:p>
    <w:p w14:paraId="71F64E52" w14:textId="77777777" w:rsidR="00FB18FD" w:rsidRDefault="00FB18FD">
      <w:pPr>
        <w:pStyle w:val="BodyText"/>
        <w:ind w:left="0" w:firstLine="0"/>
        <w:rPr>
          <w:rFonts w:ascii="Times New Roman"/>
          <w:sz w:val="20"/>
        </w:rPr>
      </w:pPr>
    </w:p>
    <w:p w14:paraId="112782FF" w14:textId="77777777" w:rsidR="00FB18FD" w:rsidRDefault="00FB18FD">
      <w:pPr>
        <w:pStyle w:val="BodyText"/>
        <w:ind w:left="0" w:firstLine="0"/>
        <w:rPr>
          <w:rFonts w:ascii="Times New Roman"/>
          <w:sz w:val="20"/>
        </w:rPr>
      </w:pPr>
    </w:p>
    <w:p w14:paraId="33D936FF" w14:textId="77777777" w:rsidR="00FB18FD" w:rsidRDefault="00FB18FD">
      <w:pPr>
        <w:pStyle w:val="BodyText"/>
        <w:ind w:left="0" w:firstLine="0"/>
        <w:rPr>
          <w:rFonts w:ascii="Times New Roman"/>
          <w:sz w:val="20"/>
        </w:rPr>
      </w:pPr>
    </w:p>
    <w:p w14:paraId="2F1F9D9E" w14:textId="77777777" w:rsidR="00FB18FD" w:rsidRDefault="00FB18FD">
      <w:pPr>
        <w:pStyle w:val="BodyText"/>
        <w:spacing w:before="9"/>
        <w:ind w:left="0" w:firstLine="0"/>
        <w:rPr>
          <w:rFonts w:ascii="Times New Roman"/>
          <w:sz w:val="23"/>
        </w:rPr>
      </w:pPr>
    </w:p>
    <w:p w14:paraId="6AEE8D17" w14:textId="77777777" w:rsidR="00FB18FD" w:rsidRDefault="00D26BC8">
      <w:pPr>
        <w:spacing w:before="27"/>
        <w:ind w:left="1510" w:right="1510"/>
        <w:jc w:val="center"/>
        <w:rPr>
          <w:b/>
          <w:sz w:val="36"/>
        </w:rPr>
      </w:pPr>
      <w:r>
        <w:rPr>
          <w:b/>
          <w:sz w:val="36"/>
        </w:rPr>
        <w:t>Refractive Surgery</w:t>
      </w:r>
      <w:r w:rsidR="009D091E">
        <w:rPr>
          <w:b/>
          <w:sz w:val="36"/>
        </w:rPr>
        <w:t xml:space="preserve"> Recommendations</w:t>
      </w:r>
    </w:p>
    <w:p w14:paraId="5CA78B43" w14:textId="77777777" w:rsidR="000E295D" w:rsidRDefault="000E295D">
      <w:pPr>
        <w:spacing w:before="27"/>
        <w:ind w:left="1510" w:right="1510"/>
        <w:jc w:val="center"/>
        <w:rPr>
          <w:b/>
          <w:sz w:val="36"/>
        </w:rPr>
      </w:pPr>
    </w:p>
    <w:p w14:paraId="2296765D" w14:textId="77777777" w:rsidR="009D091E" w:rsidRDefault="002B2C03">
      <w:pPr>
        <w:spacing w:before="27"/>
        <w:ind w:left="1510" w:right="1510"/>
        <w:jc w:val="center"/>
      </w:pPr>
      <w:r w:rsidRPr="002B2C03">
        <w:t xml:space="preserve">Michelle Pineda, MBA, OMIC Risk Manager </w:t>
      </w:r>
    </w:p>
    <w:p w14:paraId="01478C48" w14:textId="77777777" w:rsidR="00D87835" w:rsidRPr="002B2C03" w:rsidRDefault="00D87835">
      <w:pPr>
        <w:spacing w:before="27"/>
        <w:ind w:left="1510" w:right="1510"/>
        <w:jc w:val="center"/>
      </w:pPr>
      <w:r>
        <w:t xml:space="preserve">Reviewed by: Mark </w:t>
      </w:r>
      <w:r w:rsidR="00284A80">
        <w:t xml:space="preserve">A. </w:t>
      </w:r>
      <w:proofErr w:type="spellStart"/>
      <w:r>
        <w:t>Rolain</w:t>
      </w:r>
      <w:proofErr w:type="spellEnd"/>
      <w:r>
        <w:t xml:space="preserve">, MD </w:t>
      </w:r>
    </w:p>
    <w:p w14:paraId="30DD4601" w14:textId="77777777" w:rsidR="00FB18FD" w:rsidRDefault="00424610">
      <w:pPr>
        <w:pStyle w:val="BodyText"/>
        <w:spacing w:before="8"/>
        <w:ind w:left="0" w:firstLine="0"/>
        <w:rPr>
          <w:b/>
          <w:sz w:val="25"/>
        </w:rPr>
      </w:pPr>
      <w:r>
        <w:rPr>
          <w:noProof/>
          <w:lang w:bidi="ar-SA"/>
        </w:rPr>
        <mc:AlternateContent>
          <mc:Choice Requires="wps">
            <w:drawing>
              <wp:anchor distT="0" distB="0" distL="0" distR="0" simplePos="0" relativeHeight="251658240" behindDoc="1" locked="0" layoutInCell="1" allowOverlap="1" wp14:anchorId="53D2B956" wp14:editId="561CF634">
                <wp:simplePos x="0" y="0"/>
                <wp:positionH relativeFrom="page">
                  <wp:posOffset>843280</wp:posOffset>
                </wp:positionH>
                <wp:positionV relativeFrom="paragraph">
                  <wp:posOffset>227330</wp:posOffset>
                </wp:positionV>
                <wp:extent cx="6088380" cy="24028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2402840"/>
                        </a:xfrm>
                        <a:prstGeom prst="rect">
                          <a:avLst/>
                        </a:prstGeom>
                        <a:solidFill>
                          <a:srgbClr val="E6E6E6"/>
                        </a:solidFill>
                        <a:ln w="6096">
                          <a:solidFill>
                            <a:srgbClr val="000000"/>
                          </a:solidFill>
                          <a:prstDash val="solid"/>
                          <a:miter lim="800000"/>
                          <a:headEnd/>
                          <a:tailEnd/>
                        </a:ln>
                      </wps:spPr>
                      <wps:txbx>
                        <w:txbxContent>
                          <w:p w14:paraId="3DD84E8D" w14:textId="77777777" w:rsidR="00FB18FD" w:rsidRDefault="00D26BC8">
                            <w:pPr>
                              <w:spacing w:before="19"/>
                              <w:ind w:left="108"/>
                              <w:rPr>
                                <w:b/>
                              </w:rPr>
                            </w:pPr>
                            <w:r>
                              <w:rPr>
                                <w:b/>
                                <w:color w:val="333333"/>
                              </w:rPr>
                              <w:t>Purpose of risk management recommendations</w:t>
                            </w:r>
                          </w:p>
                          <w:p w14:paraId="2E4A49B8" w14:textId="77777777" w:rsidR="00FB18FD" w:rsidRDefault="00D26BC8">
                            <w:pPr>
                              <w:spacing w:before="120"/>
                              <w:ind w:left="108" w:right="164"/>
                            </w:pPr>
                            <w:r>
                              <w:rPr>
                                <w:color w:val="333333"/>
                              </w:rPr>
                              <w:t xml:space="preserve">OMIC regularly analyzes its claims experience to determine loss prevention measures that our insured ophthalmologists can take to reduce the likelihood of professional liability lawsuits. OMIC policyholders are not required to implement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Pr>
                                <w:i/>
                                <w:color w:val="333333"/>
                              </w:rPr>
                              <w:t>Preferred Practice Patterns</w:t>
                            </w:r>
                            <w:r>
                              <w:rPr>
                                <w:color w:val="333333"/>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72FAF128" w14:textId="77777777" w:rsidR="00FB18FD" w:rsidRDefault="00D26BC8">
                            <w:pPr>
                              <w:spacing w:before="121"/>
                              <w:ind w:left="108"/>
                              <w:rPr>
                                <w:b/>
                              </w:rPr>
                            </w:pPr>
                            <w:r>
                              <w:rPr>
                                <w:b/>
                                <w:color w:val="333333"/>
                              </w:rPr>
                              <w:t xml:space="preserve">Version </w:t>
                            </w:r>
                            <w:r w:rsidR="005D217A">
                              <w:rPr>
                                <w:b/>
                                <w:color w:val="333333"/>
                              </w:rPr>
                              <w:t>10/</w:t>
                            </w:r>
                            <w:r w:rsidR="00FF293D">
                              <w:rPr>
                                <w:b/>
                                <w:color w:val="333333"/>
                              </w:rPr>
                              <w:t>5</w:t>
                            </w:r>
                            <w:r w:rsidR="00781A9E">
                              <w:rPr>
                                <w:b/>
                                <w:color w:val="33333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09FD" id="_x0000_t202" coordsize="21600,21600" o:spt="202" path="m,l,21600r21600,l21600,xe">
                <v:stroke joinstyle="miter"/>
                <v:path gradientshapeok="t" o:connecttype="rect"/>
              </v:shapetype>
              <v:shape id="Text Box 4" o:spid="_x0000_s1026" type="#_x0000_t202" style="position:absolute;margin-left:66.4pt;margin-top:17.9pt;width:479.4pt;height:18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" fillcolor="#e6e6e6" strokeweight=".48pt">
                <v:path arrowok="t"/>
                <v:textbox inset="0,0,0,0">
                  <w:txbxContent>
                    <w:p w:rsidR="00FB18FD" w:rsidRDefault="00D26BC8">
                      <w:pPr>
                        <w:spacing w:before="19"/>
                        <w:ind w:left="108"/>
                        <w:rPr>
                          <w:b/>
                        </w:rPr>
                      </w:pPr>
                      <w:r>
                        <w:rPr>
                          <w:b/>
                          <w:color w:val="333333"/>
                        </w:rPr>
                        <w:t>Purpose of risk management recommendations</w:t>
                      </w:r>
                    </w:p>
                    <w:p w:rsidR="00FB18FD" w:rsidRDefault="00D26BC8">
                      <w:pPr>
                        <w:spacing w:before="120"/>
                        <w:ind w:left="108" w:right="164"/>
                      </w:pPr>
                      <w:r>
                        <w:rPr>
                          <w:color w:val="333333"/>
                        </w:rPr>
                        <w:t xml:space="preserve">OMIC regularly analyzes its claims experience to determine loss prevention measures that our insured ophthalmologists can take to reduce the likelihood of professional liability lawsuits. OMIC policyholders are not required to implement risk management recommendations. Rather, physicians should use their professional judgment in determining the applicability of a given recommendation to their particular patients and practice situation. These loss prevention documents may refer to clinical care guidelines such as the American Academy of Ophthalmology’s </w:t>
                      </w:r>
                      <w:r>
                        <w:rPr>
                          <w:i/>
                          <w:color w:val="333333"/>
                        </w:rPr>
                        <w:t>Preferred Practice Patterns</w:t>
                      </w:r>
                      <w:r>
                        <w:rPr>
                          <w:color w:val="333333"/>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FB18FD" w:rsidRDefault="00D26BC8">
                      <w:pPr>
                        <w:spacing w:before="121"/>
                        <w:ind w:left="108"/>
                        <w:rPr>
                          <w:b/>
                        </w:rPr>
                      </w:pPr>
                      <w:r>
                        <w:rPr>
                          <w:b/>
                          <w:color w:val="333333"/>
                        </w:rPr>
                        <w:t xml:space="preserve">Version </w:t>
                      </w:r>
                      <w:r w:rsidR="005D217A">
                        <w:rPr>
                          <w:b/>
                          <w:color w:val="333333"/>
                        </w:rPr>
                        <w:t>10/</w:t>
                      </w:r>
                      <w:r w:rsidR="00FF293D">
                        <w:rPr>
                          <w:b/>
                          <w:color w:val="333333"/>
                        </w:rPr>
                        <w:t>5</w:t>
                      </w:r>
                      <w:r w:rsidR="00781A9E">
                        <w:rPr>
                          <w:b/>
                          <w:color w:val="333333"/>
                        </w:rPr>
                        <w:t>/2022</w:t>
                      </w:r>
                    </w:p>
                  </w:txbxContent>
                </v:textbox>
                <w10:wrap type="topAndBottom" anchorx="page"/>
              </v:shape>
            </w:pict>
          </mc:Fallback>
        </mc:AlternateContent>
      </w:r>
    </w:p>
    <w:p w14:paraId="33D34F69" w14:textId="77777777" w:rsidR="00424610" w:rsidRDefault="00424610">
      <w:pPr>
        <w:pStyle w:val="BodyText"/>
        <w:spacing w:before="90"/>
        <w:ind w:left="1440" w:right="1723" w:firstLine="0"/>
      </w:pPr>
    </w:p>
    <w:p w14:paraId="4C9A3337" w14:textId="77777777" w:rsidR="000A795F" w:rsidRDefault="00424610" w:rsidP="000A795F">
      <w:pPr>
        <w:pStyle w:val="BodyText"/>
        <w:spacing w:before="90"/>
        <w:ind w:left="1440" w:right="1723" w:firstLine="0"/>
      </w:pPr>
      <w:r>
        <w:t xml:space="preserve">For the purpose of this document, </w:t>
      </w:r>
      <w:r w:rsidR="0011134B">
        <w:t xml:space="preserve">refractive surgery will be broadly categorized into two classes: </w:t>
      </w:r>
    </w:p>
    <w:p w14:paraId="52ABB2C9" w14:textId="77777777" w:rsidR="00424610" w:rsidRPr="008D6CC3" w:rsidRDefault="005F5328" w:rsidP="005F5328">
      <w:pPr>
        <w:pStyle w:val="BodyText"/>
        <w:numPr>
          <w:ilvl w:val="0"/>
          <w:numId w:val="2"/>
        </w:numPr>
        <w:spacing w:before="90"/>
        <w:ind w:right="1723"/>
        <w:rPr>
          <w:b/>
        </w:rPr>
      </w:pPr>
      <w:r w:rsidRPr="008D6CC3">
        <w:rPr>
          <w:b/>
        </w:rPr>
        <w:t xml:space="preserve"> </w:t>
      </w:r>
      <w:r w:rsidR="0011134B" w:rsidRPr="008D6CC3">
        <w:rPr>
          <w:b/>
        </w:rPr>
        <w:t>LASIK, PRK, LASEK, INTRALASIK, Custom Cap, RK, AK, INTACS, CK</w:t>
      </w:r>
    </w:p>
    <w:p w14:paraId="1FF6BD76" w14:textId="77777777" w:rsidR="00424610" w:rsidRPr="008D6CC3" w:rsidRDefault="005F5328" w:rsidP="005F5328">
      <w:pPr>
        <w:pStyle w:val="BodyText"/>
        <w:numPr>
          <w:ilvl w:val="0"/>
          <w:numId w:val="2"/>
        </w:numPr>
        <w:spacing w:before="90"/>
        <w:ind w:right="1723"/>
        <w:rPr>
          <w:b/>
        </w:rPr>
      </w:pPr>
      <w:r w:rsidRPr="008D6CC3">
        <w:rPr>
          <w:b/>
        </w:rPr>
        <w:t>Intraocular Lens (IOL)</w:t>
      </w:r>
      <w:r w:rsidR="0046098F" w:rsidRPr="008D6CC3">
        <w:rPr>
          <w:b/>
        </w:rPr>
        <w:t xml:space="preserve"> including </w:t>
      </w:r>
      <w:proofErr w:type="spellStart"/>
      <w:r w:rsidRPr="008D6CC3">
        <w:rPr>
          <w:b/>
        </w:rPr>
        <w:t>Phakic</w:t>
      </w:r>
      <w:proofErr w:type="spellEnd"/>
      <w:r w:rsidRPr="008D6CC3">
        <w:rPr>
          <w:b/>
        </w:rPr>
        <w:t xml:space="preserve"> IOL, </w:t>
      </w:r>
      <w:r w:rsidR="009D1D55" w:rsidRPr="008D6CC3">
        <w:rPr>
          <w:b/>
        </w:rPr>
        <w:t>Refractive/</w:t>
      </w:r>
      <w:r w:rsidRPr="008D6CC3">
        <w:rPr>
          <w:b/>
        </w:rPr>
        <w:t xml:space="preserve">Clear Lens Exchange (CLE)  </w:t>
      </w:r>
    </w:p>
    <w:p w14:paraId="57CF15AF" w14:textId="77777777" w:rsidR="005F5328" w:rsidRPr="004E7CAF" w:rsidRDefault="005F5328" w:rsidP="005F5328">
      <w:pPr>
        <w:pStyle w:val="BodyText"/>
        <w:spacing w:before="90"/>
        <w:ind w:right="1723"/>
        <w:rPr>
          <w:color w:val="0070C0"/>
        </w:rPr>
      </w:pPr>
    </w:p>
    <w:p w14:paraId="3E7FAECB" w14:textId="77777777" w:rsidR="00424610" w:rsidRPr="004E7CAF" w:rsidRDefault="009800A9" w:rsidP="009800A9">
      <w:pPr>
        <w:pStyle w:val="Heading1"/>
        <w:rPr>
          <w:color w:val="0070C0"/>
        </w:rPr>
      </w:pPr>
      <w:r w:rsidRPr="004E7CAF">
        <w:rPr>
          <w:color w:val="0070C0"/>
        </w:rPr>
        <w:t>Indications for surgery and patient selection</w:t>
      </w:r>
    </w:p>
    <w:p w14:paraId="436181E1" w14:textId="77777777" w:rsidR="00895C1A" w:rsidRDefault="00D26BC8">
      <w:pPr>
        <w:pStyle w:val="BodyText"/>
        <w:spacing w:before="90"/>
        <w:ind w:left="1440" w:right="1723" w:firstLine="0"/>
      </w:pPr>
      <w:r>
        <w:t xml:space="preserve">Intraocular refractive surgery </w:t>
      </w:r>
      <w:r w:rsidR="0046098F">
        <w:t xml:space="preserve">with IOL </w:t>
      </w:r>
      <w:r w:rsidR="00E23010">
        <w:t xml:space="preserve">(#2) </w:t>
      </w:r>
      <w:r>
        <w:t>poses a higher risk for patients than refractive procedures performed on the corneal surface</w:t>
      </w:r>
      <w:r w:rsidR="00B95655">
        <w:t xml:space="preserve"> (#1)</w:t>
      </w:r>
      <w:r>
        <w:t xml:space="preserve">. These patients tend to have high expectations and pay for these procedures out-of-pocket, which can heighten the likelihood of dissatisfaction and professional liability lawsuits. </w:t>
      </w:r>
    </w:p>
    <w:p w14:paraId="0EC0704E" w14:textId="77777777" w:rsidR="00895C1A" w:rsidRPr="002D657E" w:rsidRDefault="00895C1A" w:rsidP="002D657E">
      <w:pPr>
        <w:tabs>
          <w:tab w:val="left" w:pos="1800"/>
          <w:tab w:val="left" w:pos="1801"/>
        </w:tabs>
        <w:spacing w:before="90"/>
        <w:ind w:left="1440" w:right="1723"/>
        <w:rPr>
          <w:sz w:val="24"/>
          <w:szCs w:val="24"/>
        </w:rPr>
      </w:pPr>
      <w:r w:rsidRPr="002D657E">
        <w:rPr>
          <w:sz w:val="24"/>
          <w:szCs w:val="24"/>
        </w:rPr>
        <w:t xml:space="preserve">Whenever possible, and according to each device, </w:t>
      </w:r>
      <w:r w:rsidR="00B06CA6">
        <w:rPr>
          <w:sz w:val="24"/>
          <w:szCs w:val="24"/>
        </w:rPr>
        <w:t xml:space="preserve">immediate sequential bilateral </w:t>
      </w:r>
      <w:r w:rsidRPr="002D657E">
        <w:rPr>
          <w:sz w:val="24"/>
          <w:szCs w:val="24"/>
        </w:rPr>
        <w:t xml:space="preserve">surgery should be avoided to minimize the risk of </w:t>
      </w:r>
      <w:r w:rsidR="002D657E">
        <w:rPr>
          <w:sz w:val="24"/>
          <w:szCs w:val="24"/>
        </w:rPr>
        <w:t xml:space="preserve">complications or </w:t>
      </w:r>
      <w:r w:rsidRPr="002D657E">
        <w:rPr>
          <w:sz w:val="24"/>
          <w:szCs w:val="24"/>
        </w:rPr>
        <w:t>error</w:t>
      </w:r>
      <w:r w:rsidR="002D657E" w:rsidRPr="002D657E">
        <w:rPr>
          <w:sz w:val="24"/>
          <w:szCs w:val="24"/>
        </w:rPr>
        <w:t>.</w:t>
      </w:r>
      <w:r w:rsidR="00314C8A" w:rsidRPr="002D657E">
        <w:rPr>
          <w:sz w:val="24"/>
          <w:szCs w:val="24"/>
        </w:rPr>
        <w:t xml:space="preserve"> </w:t>
      </w:r>
      <w:r w:rsidRPr="002D657E">
        <w:rPr>
          <w:sz w:val="24"/>
          <w:szCs w:val="24"/>
        </w:rPr>
        <w:t xml:space="preserve"> </w:t>
      </w:r>
    </w:p>
    <w:p w14:paraId="07A11277" w14:textId="77777777" w:rsidR="00FB18FD" w:rsidRDefault="00A57C87">
      <w:pPr>
        <w:pStyle w:val="BodyText"/>
        <w:spacing w:before="90"/>
        <w:ind w:left="1440" w:right="1723" w:firstLine="0"/>
      </w:pPr>
      <w:r>
        <w:t>Regardless of the type of surgery, i</w:t>
      </w:r>
      <w:r w:rsidR="00D26BC8">
        <w:t>mplementing these risk management recommendations can benefit both you and your patient.</w:t>
      </w:r>
    </w:p>
    <w:p w14:paraId="494E2690" w14:textId="77777777" w:rsidR="00E44515" w:rsidRDefault="00E44515">
      <w:pPr>
        <w:pStyle w:val="BodyText"/>
        <w:spacing w:before="90"/>
        <w:ind w:left="1440" w:right="1723" w:firstLine="0"/>
      </w:pPr>
    </w:p>
    <w:p w14:paraId="562A3927" w14:textId="77777777" w:rsidR="00C9291B" w:rsidRDefault="00C9291B">
      <w:pPr>
        <w:pStyle w:val="BodyText"/>
        <w:spacing w:before="90"/>
        <w:ind w:left="1440" w:right="1723" w:firstLine="0"/>
      </w:pPr>
    </w:p>
    <w:p w14:paraId="2CDF7B04" w14:textId="77777777" w:rsidR="00A31B89" w:rsidRDefault="00C9291B" w:rsidP="00B5176F">
      <w:pPr>
        <w:pStyle w:val="Heading1"/>
        <w:numPr>
          <w:ilvl w:val="0"/>
          <w:numId w:val="25"/>
        </w:numPr>
      </w:pPr>
      <w:r>
        <w:rPr>
          <w:color w:val="006FC0"/>
        </w:rPr>
        <w:lastRenderedPageBreak/>
        <w:t>Preoperative evaluation and site of surger</w:t>
      </w:r>
      <w:r w:rsidR="00B5176F">
        <w:rPr>
          <w:color w:val="006FC0"/>
        </w:rPr>
        <w:t>y</w:t>
      </w:r>
    </w:p>
    <w:p w14:paraId="147F06DF" w14:textId="77777777" w:rsidR="000A795F" w:rsidRDefault="000A795F" w:rsidP="00A31B89">
      <w:pPr>
        <w:pStyle w:val="Heading1"/>
      </w:pPr>
    </w:p>
    <w:p w14:paraId="68375840" w14:textId="77777777" w:rsidR="00A31B89" w:rsidRDefault="008D6CC3" w:rsidP="000A795F">
      <w:pPr>
        <w:pStyle w:val="Heading1"/>
      </w:pPr>
      <w:r>
        <w:t xml:space="preserve">Class </w:t>
      </w:r>
      <w:r w:rsidR="00A31B89">
        <w:t>1</w:t>
      </w:r>
      <w:r w:rsidR="0055111C">
        <w:t xml:space="preserve"> and</w:t>
      </w:r>
      <w:r w:rsidR="00A31B89">
        <w:t xml:space="preserve"> 2:</w:t>
      </w:r>
    </w:p>
    <w:p w14:paraId="2E4174C7" w14:textId="77777777" w:rsidR="00C9291B" w:rsidRDefault="00C9291B" w:rsidP="00C9291B">
      <w:pPr>
        <w:pStyle w:val="ListParagraph"/>
        <w:numPr>
          <w:ilvl w:val="0"/>
          <w:numId w:val="1"/>
        </w:numPr>
        <w:tabs>
          <w:tab w:val="left" w:pos="1800"/>
          <w:tab w:val="left" w:pos="1801"/>
        </w:tabs>
        <w:spacing w:before="1"/>
        <w:ind w:right="1806"/>
        <w:rPr>
          <w:rFonts w:ascii="Symbol" w:hAnsi="Symbol"/>
          <w:sz w:val="24"/>
        </w:rPr>
      </w:pPr>
      <w:r>
        <w:rPr>
          <w:sz w:val="24"/>
        </w:rPr>
        <w:t>Perform and document an independent evaluation prior to surgery to determine the patient’s candidacy for surgery. Conduct a personal and independent examination of</w:t>
      </w:r>
      <w:r>
        <w:rPr>
          <w:spacing w:val="-36"/>
          <w:sz w:val="24"/>
        </w:rPr>
        <w:t xml:space="preserve"> </w:t>
      </w:r>
      <w:r w:rsidR="009D091E">
        <w:rPr>
          <w:spacing w:val="-36"/>
          <w:sz w:val="24"/>
        </w:rPr>
        <w:t xml:space="preserve"> </w:t>
      </w:r>
      <w:r w:rsidR="00C21E8C">
        <w:rPr>
          <w:spacing w:val="-36"/>
          <w:sz w:val="24"/>
        </w:rPr>
        <w:t xml:space="preserve"> </w:t>
      </w:r>
      <w:r>
        <w:rPr>
          <w:sz w:val="24"/>
        </w:rPr>
        <w:t>the</w:t>
      </w:r>
    </w:p>
    <w:p w14:paraId="2029D4DB" w14:textId="77777777" w:rsidR="00C9291B" w:rsidRDefault="00C9291B" w:rsidP="00C9291B">
      <w:pPr>
        <w:pStyle w:val="BodyText"/>
        <w:ind w:right="1728" w:firstLine="0"/>
      </w:pPr>
      <w:r>
        <w:t>patient’s eyes and ocular history. Analyze and discuss the patient’s expectations. Address monovision when appropriate.</w:t>
      </w:r>
    </w:p>
    <w:p w14:paraId="7FD791DF" w14:textId="77777777" w:rsidR="00A31B89" w:rsidRDefault="00A31B89" w:rsidP="00C9291B">
      <w:pPr>
        <w:pStyle w:val="BodyText"/>
        <w:ind w:right="1728" w:firstLine="0"/>
      </w:pPr>
    </w:p>
    <w:p w14:paraId="0C0420AF" w14:textId="77777777" w:rsidR="00A31B89" w:rsidRPr="00A31B89" w:rsidRDefault="00A31B89" w:rsidP="000A795F">
      <w:pPr>
        <w:pStyle w:val="BodyText"/>
        <w:ind w:right="1728"/>
        <w:rPr>
          <w:b/>
          <w:sz w:val="28"/>
        </w:rPr>
      </w:pPr>
      <w:r w:rsidRPr="00A31B89">
        <w:rPr>
          <w:b/>
          <w:sz w:val="28"/>
        </w:rPr>
        <w:t>C</w:t>
      </w:r>
      <w:r w:rsidR="0084074F">
        <w:rPr>
          <w:b/>
          <w:sz w:val="28"/>
        </w:rPr>
        <w:t>la</w:t>
      </w:r>
      <w:r w:rsidR="0055111C">
        <w:rPr>
          <w:b/>
          <w:sz w:val="28"/>
        </w:rPr>
        <w:t xml:space="preserve">ss </w:t>
      </w:r>
      <w:r w:rsidRPr="00A31B89">
        <w:rPr>
          <w:b/>
          <w:sz w:val="28"/>
        </w:rPr>
        <w:t xml:space="preserve">2: </w:t>
      </w:r>
    </w:p>
    <w:p w14:paraId="1566990B" w14:textId="77777777" w:rsidR="00C9291B" w:rsidRDefault="00C9291B" w:rsidP="00C9291B">
      <w:pPr>
        <w:pStyle w:val="ListParagraph"/>
        <w:numPr>
          <w:ilvl w:val="0"/>
          <w:numId w:val="1"/>
        </w:numPr>
        <w:tabs>
          <w:tab w:val="left" w:pos="1800"/>
          <w:tab w:val="left" w:pos="1801"/>
        </w:tabs>
        <w:ind w:right="1820"/>
        <w:rPr>
          <w:rFonts w:ascii="Symbol" w:hAnsi="Symbol"/>
          <w:sz w:val="24"/>
        </w:rPr>
      </w:pPr>
      <w:r>
        <w:rPr>
          <w:sz w:val="24"/>
        </w:rPr>
        <w:t>Ensure that all candidates have a complete retinal exam pre- and post-operatively. The retinal exam may be conducted by the surgeon, a retinal specialist, or other qualified ophthalmologist. In addition, advise patients of the increased risk of retinal</w:t>
      </w:r>
      <w:r>
        <w:rPr>
          <w:spacing w:val="-30"/>
          <w:sz w:val="24"/>
        </w:rPr>
        <w:t xml:space="preserve"> </w:t>
      </w:r>
      <w:r>
        <w:rPr>
          <w:sz w:val="24"/>
        </w:rPr>
        <w:t>detachment.</w:t>
      </w:r>
    </w:p>
    <w:p w14:paraId="1C09E8B4" w14:textId="77777777" w:rsidR="00C9291B" w:rsidRDefault="00C9291B" w:rsidP="00C9291B">
      <w:pPr>
        <w:pStyle w:val="ListParagraph"/>
        <w:numPr>
          <w:ilvl w:val="0"/>
          <w:numId w:val="1"/>
        </w:numPr>
        <w:tabs>
          <w:tab w:val="left" w:pos="1800"/>
          <w:tab w:val="left" w:pos="1801"/>
        </w:tabs>
        <w:ind w:right="2033"/>
        <w:rPr>
          <w:rFonts w:ascii="Symbol" w:hAnsi="Symbol"/>
          <w:sz w:val="24"/>
        </w:rPr>
      </w:pPr>
      <w:r>
        <w:rPr>
          <w:sz w:val="24"/>
        </w:rPr>
        <w:t>Determine and document the amount of myopia, hyperopia, astigmatism, presence</w:t>
      </w:r>
      <w:r>
        <w:rPr>
          <w:spacing w:val="-34"/>
          <w:sz w:val="24"/>
        </w:rPr>
        <w:t xml:space="preserve"> </w:t>
      </w:r>
      <w:r>
        <w:rPr>
          <w:sz w:val="24"/>
        </w:rPr>
        <w:t>of presbyopia, and near and distance</w:t>
      </w:r>
      <w:r>
        <w:rPr>
          <w:spacing w:val="-1"/>
          <w:sz w:val="24"/>
        </w:rPr>
        <w:t xml:space="preserve"> </w:t>
      </w:r>
      <w:r>
        <w:rPr>
          <w:sz w:val="24"/>
        </w:rPr>
        <w:t>vision.</w:t>
      </w:r>
    </w:p>
    <w:p w14:paraId="43311396" w14:textId="77777777" w:rsidR="00C9291B" w:rsidRPr="00867481" w:rsidRDefault="00C9291B" w:rsidP="00C9291B">
      <w:pPr>
        <w:pStyle w:val="ListParagraph"/>
        <w:numPr>
          <w:ilvl w:val="0"/>
          <w:numId w:val="1"/>
        </w:numPr>
        <w:tabs>
          <w:tab w:val="left" w:pos="1800"/>
          <w:tab w:val="left" w:pos="1801"/>
        </w:tabs>
        <w:spacing w:line="242" w:lineRule="auto"/>
        <w:ind w:right="1782"/>
        <w:rPr>
          <w:rFonts w:ascii="Symbol" w:hAnsi="Symbol"/>
          <w:sz w:val="24"/>
        </w:rPr>
      </w:pPr>
      <w:r w:rsidRPr="00867481">
        <w:rPr>
          <w:sz w:val="24"/>
        </w:rPr>
        <w:t>Evaluate and document the patient’s refractive stability</w:t>
      </w:r>
      <w:r w:rsidR="0045552E">
        <w:rPr>
          <w:sz w:val="24"/>
        </w:rPr>
        <w:t xml:space="preserve"> </w:t>
      </w:r>
      <w:r w:rsidR="00295F4A">
        <w:rPr>
          <w:sz w:val="24"/>
        </w:rPr>
        <w:t xml:space="preserve">according to clinical recommendations. </w:t>
      </w:r>
    </w:p>
    <w:p w14:paraId="4CC9454C" w14:textId="77777777" w:rsidR="00C9291B" w:rsidRDefault="00C9291B" w:rsidP="00C9291B">
      <w:pPr>
        <w:pStyle w:val="ListParagraph"/>
        <w:numPr>
          <w:ilvl w:val="0"/>
          <w:numId w:val="1"/>
        </w:numPr>
        <w:tabs>
          <w:tab w:val="left" w:pos="1800"/>
          <w:tab w:val="left" w:pos="1801"/>
        </w:tabs>
        <w:spacing w:line="301" w:lineRule="exact"/>
        <w:ind w:hanging="361"/>
        <w:rPr>
          <w:rFonts w:ascii="Symbol" w:hAnsi="Symbol"/>
          <w:sz w:val="24"/>
        </w:rPr>
      </w:pPr>
      <w:r>
        <w:rPr>
          <w:sz w:val="24"/>
        </w:rPr>
        <w:t>Ensure that the post-implant refraction is stable before performing repeat</w:t>
      </w:r>
      <w:r>
        <w:rPr>
          <w:spacing w:val="-8"/>
          <w:sz w:val="24"/>
        </w:rPr>
        <w:t xml:space="preserve"> </w:t>
      </w:r>
      <w:r>
        <w:rPr>
          <w:sz w:val="24"/>
        </w:rPr>
        <w:t>surgery.</w:t>
      </w:r>
    </w:p>
    <w:p w14:paraId="60744C59" w14:textId="77777777" w:rsidR="00C9291B" w:rsidRPr="00C9291B" w:rsidRDefault="00C9291B" w:rsidP="00C9291B">
      <w:pPr>
        <w:pStyle w:val="ListParagraph"/>
        <w:numPr>
          <w:ilvl w:val="0"/>
          <w:numId w:val="1"/>
        </w:numPr>
        <w:tabs>
          <w:tab w:val="left" w:pos="1800"/>
          <w:tab w:val="left" w:pos="1801"/>
        </w:tabs>
        <w:ind w:right="1830"/>
        <w:rPr>
          <w:rFonts w:ascii="Symbol" w:hAnsi="Symbol"/>
          <w:sz w:val="24"/>
        </w:rPr>
      </w:pPr>
      <w:r>
        <w:rPr>
          <w:sz w:val="24"/>
        </w:rPr>
        <w:t>Perform the procedure in a hospital or outpatient surgery center approved for cataract surgery that meets the standards for sterile conditions as required for accreditation. Full sterile technique must be</w:t>
      </w:r>
      <w:r>
        <w:rPr>
          <w:spacing w:val="-3"/>
          <w:sz w:val="24"/>
        </w:rPr>
        <w:t xml:space="preserve"> </w:t>
      </w:r>
      <w:r>
        <w:rPr>
          <w:sz w:val="24"/>
        </w:rPr>
        <w:t>followed.</w:t>
      </w:r>
    </w:p>
    <w:p w14:paraId="68A1E711" w14:textId="77777777" w:rsidR="00057B6C" w:rsidRDefault="00057B6C" w:rsidP="009D1D55">
      <w:pPr>
        <w:pStyle w:val="Heading1"/>
        <w:ind w:left="0"/>
        <w:rPr>
          <w:color w:val="006FC0"/>
        </w:rPr>
      </w:pPr>
    </w:p>
    <w:p w14:paraId="262A773B" w14:textId="77777777" w:rsidR="00057B6C" w:rsidRDefault="00057B6C" w:rsidP="00A57C87">
      <w:pPr>
        <w:pStyle w:val="Heading1"/>
        <w:numPr>
          <w:ilvl w:val="0"/>
          <w:numId w:val="25"/>
        </w:numPr>
      </w:pPr>
      <w:r>
        <w:rPr>
          <w:color w:val="006FC0"/>
        </w:rPr>
        <w:t>FDA status and off-label use</w:t>
      </w:r>
    </w:p>
    <w:p w14:paraId="462CD62B" w14:textId="77777777" w:rsidR="00057B6C" w:rsidRDefault="00057B6C" w:rsidP="00057B6C">
      <w:pPr>
        <w:pStyle w:val="ListParagraph"/>
        <w:numPr>
          <w:ilvl w:val="0"/>
          <w:numId w:val="1"/>
        </w:numPr>
        <w:tabs>
          <w:tab w:val="left" w:pos="1800"/>
          <w:tab w:val="left" w:pos="1801"/>
        </w:tabs>
        <w:spacing w:before="1"/>
        <w:ind w:right="2109"/>
        <w:rPr>
          <w:rFonts w:ascii="Symbol" w:hAnsi="Symbol"/>
          <w:sz w:val="24"/>
        </w:rPr>
      </w:pPr>
      <w:r>
        <w:rPr>
          <w:sz w:val="24"/>
        </w:rPr>
        <w:t>Verify the Food and Drug Administration (FDA)-approved label on a regular basis, and carefully review any communications from the device</w:t>
      </w:r>
      <w:r>
        <w:rPr>
          <w:spacing w:val="-7"/>
          <w:sz w:val="24"/>
        </w:rPr>
        <w:t xml:space="preserve"> </w:t>
      </w:r>
      <w:r>
        <w:rPr>
          <w:sz w:val="24"/>
        </w:rPr>
        <w:t>manufacturer.</w:t>
      </w:r>
    </w:p>
    <w:p w14:paraId="41211141" w14:textId="77777777" w:rsidR="00057B6C" w:rsidRDefault="00057B6C" w:rsidP="00057B6C">
      <w:pPr>
        <w:pStyle w:val="ListParagraph"/>
        <w:numPr>
          <w:ilvl w:val="0"/>
          <w:numId w:val="1"/>
        </w:numPr>
        <w:tabs>
          <w:tab w:val="left" w:pos="1800"/>
          <w:tab w:val="left" w:pos="1801"/>
        </w:tabs>
        <w:spacing w:line="242" w:lineRule="auto"/>
        <w:ind w:right="1882"/>
        <w:rPr>
          <w:rFonts w:ascii="Symbol" w:hAnsi="Symbol"/>
          <w:sz w:val="24"/>
        </w:rPr>
      </w:pPr>
      <w:r>
        <w:rPr>
          <w:sz w:val="24"/>
        </w:rPr>
        <w:t>Devices are approved for specific indications, conditions, and ages. Use outside of these criteria is considered off-label. Obtain and document consent for off-label</w:t>
      </w:r>
      <w:r>
        <w:rPr>
          <w:spacing w:val="-19"/>
          <w:sz w:val="24"/>
        </w:rPr>
        <w:t xml:space="preserve"> </w:t>
      </w:r>
      <w:r>
        <w:rPr>
          <w:sz w:val="24"/>
        </w:rPr>
        <w:t>use</w:t>
      </w:r>
      <w:r w:rsidR="00314C8A">
        <w:rPr>
          <w:sz w:val="24"/>
        </w:rPr>
        <w:t xml:space="preserve"> (see section #3</w:t>
      </w:r>
      <w:r w:rsidR="00B5176F">
        <w:rPr>
          <w:sz w:val="24"/>
        </w:rPr>
        <w:t xml:space="preserve"> regarding informed consent recommendations</w:t>
      </w:r>
      <w:r w:rsidR="00314C8A">
        <w:rPr>
          <w:sz w:val="24"/>
        </w:rPr>
        <w:t>)</w:t>
      </w:r>
      <w:r>
        <w:rPr>
          <w:sz w:val="24"/>
        </w:rPr>
        <w:t>.</w:t>
      </w:r>
    </w:p>
    <w:p w14:paraId="2C9FB817" w14:textId="77777777" w:rsidR="00057B6C" w:rsidRDefault="00057B6C" w:rsidP="00057B6C">
      <w:pPr>
        <w:pStyle w:val="ListParagraph"/>
        <w:numPr>
          <w:ilvl w:val="0"/>
          <w:numId w:val="1"/>
        </w:numPr>
        <w:tabs>
          <w:tab w:val="left" w:pos="1800"/>
          <w:tab w:val="left" w:pos="1801"/>
        </w:tabs>
        <w:spacing w:line="301" w:lineRule="exact"/>
        <w:ind w:hanging="361"/>
        <w:rPr>
          <w:rFonts w:ascii="Symbol" w:hAnsi="Symbol"/>
          <w:sz w:val="24"/>
        </w:rPr>
      </w:pPr>
      <w:r>
        <w:rPr>
          <w:sz w:val="24"/>
          <w:u w:val="single"/>
        </w:rPr>
        <w:t>Patient</w:t>
      </w:r>
      <w:r>
        <w:rPr>
          <w:spacing w:val="-2"/>
          <w:sz w:val="24"/>
          <w:u w:val="single"/>
        </w:rPr>
        <w:t xml:space="preserve"> </w:t>
      </w:r>
      <w:r>
        <w:rPr>
          <w:sz w:val="24"/>
          <w:u w:val="single"/>
        </w:rPr>
        <w:t>age</w:t>
      </w:r>
    </w:p>
    <w:p w14:paraId="06661D28" w14:textId="77777777" w:rsidR="00057B6C" w:rsidRPr="00057B6C" w:rsidRDefault="00057B6C" w:rsidP="00057B6C">
      <w:pPr>
        <w:pStyle w:val="ListParagraph"/>
        <w:numPr>
          <w:ilvl w:val="1"/>
          <w:numId w:val="1"/>
        </w:numPr>
        <w:tabs>
          <w:tab w:val="left" w:pos="1800"/>
          <w:tab w:val="left" w:pos="1801"/>
        </w:tabs>
        <w:ind w:right="1798"/>
        <w:rPr>
          <w:rFonts w:ascii="Symbol" w:hAnsi="Symbol"/>
          <w:sz w:val="24"/>
        </w:rPr>
      </w:pPr>
      <w:r w:rsidRPr="007B5E8D">
        <w:rPr>
          <w:b/>
          <w:sz w:val="24"/>
        </w:rPr>
        <w:t>Example:</w:t>
      </w:r>
      <w:r>
        <w:rPr>
          <w:sz w:val="24"/>
        </w:rPr>
        <w:t xml:space="preserve"> </w:t>
      </w:r>
      <w:proofErr w:type="spellStart"/>
      <w:r w:rsidRPr="00057B6C">
        <w:rPr>
          <w:sz w:val="24"/>
        </w:rPr>
        <w:t>Phakic</w:t>
      </w:r>
      <w:proofErr w:type="spellEnd"/>
      <w:r w:rsidRPr="00057B6C">
        <w:rPr>
          <w:sz w:val="24"/>
        </w:rPr>
        <w:t xml:space="preserve"> implants were approved for a certain age range (e.g., 18 or 21 to 45 years). Use</w:t>
      </w:r>
      <w:r w:rsidRPr="00057B6C">
        <w:rPr>
          <w:spacing w:val="-30"/>
          <w:sz w:val="24"/>
        </w:rPr>
        <w:t xml:space="preserve"> </w:t>
      </w:r>
      <w:r w:rsidRPr="00057B6C">
        <w:rPr>
          <w:sz w:val="24"/>
        </w:rPr>
        <w:t xml:space="preserve">in patients who are younger or older than the approved ages </w:t>
      </w:r>
      <w:proofErr w:type="gramStart"/>
      <w:r w:rsidRPr="00057B6C">
        <w:rPr>
          <w:sz w:val="24"/>
        </w:rPr>
        <w:t>is</w:t>
      </w:r>
      <w:proofErr w:type="gramEnd"/>
      <w:r w:rsidRPr="00057B6C">
        <w:rPr>
          <w:spacing w:val="-8"/>
          <w:sz w:val="24"/>
        </w:rPr>
        <w:t xml:space="preserve"> </w:t>
      </w:r>
      <w:r w:rsidRPr="00057B6C">
        <w:rPr>
          <w:sz w:val="24"/>
        </w:rPr>
        <w:t>off-label.</w:t>
      </w:r>
    </w:p>
    <w:p w14:paraId="16792FFF" w14:textId="77777777" w:rsidR="00057B6C" w:rsidRDefault="00382854" w:rsidP="00057B6C">
      <w:pPr>
        <w:pStyle w:val="ListParagraph"/>
        <w:numPr>
          <w:ilvl w:val="1"/>
          <w:numId w:val="1"/>
        </w:numPr>
        <w:tabs>
          <w:tab w:val="left" w:pos="1800"/>
          <w:tab w:val="left" w:pos="1801"/>
        </w:tabs>
        <w:spacing w:line="305" w:lineRule="exact"/>
        <w:rPr>
          <w:rFonts w:ascii="Symbol" w:hAnsi="Symbol"/>
          <w:sz w:val="24"/>
        </w:rPr>
      </w:pPr>
      <w:r w:rsidRPr="007B5E8D">
        <w:rPr>
          <w:b/>
          <w:sz w:val="24"/>
        </w:rPr>
        <w:t>Example</w:t>
      </w:r>
      <w:r w:rsidR="007B5E8D">
        <w:rPr>
          <w:sz w:val="24"/>
        </w:rPr>
        <w:t xml:space="preserve">: </w:t>
      </w:r>
      <w:r w:rsidR="00057B6C">
        <w:rPr>
          <w:sz w:val="24"/>
        </w:rPr>
        <w:t>IOLs are approved for adult patients. Use in minor patients is</w:t>
      </w:r>
      <w:r w:rsidR="00057B6C">
        <w:rPr>
          <w:spacing w:val="-3"/>
          <w:sz w:val="24"/>
        </w:rPr>
        <w:t xml:space="preserve"> </w:t>
      </w:r>
      <w:r w:rsidR="00057B6C">
        <w:rPr>
          <w:sz w:val="24"/>
        </w:rPr>
        <w:t>off-label.</w:t>
      </w:r>
    </w:p>
    <w:p w14:paraId="42330069" w14:textId="77777777" w:rsidR="00057B6C" w:rsidRDefault="00057B6C" w:rsidP="00057B6C">
      <w:pPr>
        <w:pStyle w:val="ListParagraph"/>
        <w:numPr>
          <w:ilvl w:val="0"/>
          <w:numId w:val="1"/>
        </w:numPr>
        <w:tabs>
          <w:tab w:val="left" w:pos="1800"/>
          <w:tab w:val="left" w:pos="1801"/>
        </w:tabs>
        <w:spacing w:line="305" w:lineRule="exact"/>
        <w:ind w:hanging="361"/>
        <w:rPr>
          <w:rFonts w:ascii="Symbol" w:hAnsi="Symbol"/>
          <w:sz w:val="24"/>
        </w:rPr>
      </w:pPr>
      <w:proofErr w:type="spellStart"/>
      <w:r>
        <w:rPr>
          <w:sz w:val="24"/>
          <w:u w:val="single"/>
        </w:rPr>
        <w:t>Phakic</w:t>
      </w:r>
      <w:proofErr w:type="spellEnd"/>
      <w:r>
        <w:rPr>
          <w:spacing w:val="-1"/>
          <w:sz w:val="24"/>
          <w:u w:val="single"/>
        </w:rPr>
        <w:t xml:space="preserve"> </w:t>
      </w:r>
      <w:r>
        <w:rPr>
          <w:sz w:val="24"/>
          <w:u w:val="single"/>
        </w:rPr>
        <w:t>implants</w:t>
      </w:r>
    </w:p>
    <w:p w14:paraId="39A38D84" w14:textId="77777777" w:rsidR="00057B6C" w:rsidRPr="00057B6C" w:rsidRDefault="00382854" w:rsidP="00057B6C">
      <w:pPr>
        <w:pStyle w:val="ListParagraph"/>
        <w:numPr>
          <w:ilvl w:val="1"/>
          <w:numId w:val="1"/>
        </w:numPr>
        <w:tabs>
          <w:tab w:val="left" w:pos="1800"/>
          <w:tab w:val="left" w:pos="1801"/>
        </w:tabs>
        <w:spacing w:line="305" w:lineRule="exact"/>
        <w:rPr>
          <w:rFonts w:ascii="Symbol" w:hAnsi="Symbol"/>
          <w:sz w:val="24"/>
        </w:rPr>
      </w:pPr>
      <w:r w:rsidRPr="007B5E8D">
        <w:rPr>
          <w:b/>
          <w:sz w:val="24"/>
        </w:rPr>
        <w:t>Example:</w:t>
      </w:r>
      <w:r>
        <w:rPr>
          <w:sz w:val="24"/>
        </w:rPr>
        <w:t xml:space="preserve"> </w:t>
      </w:r>
      <w:r w:rsidR="00057B6C">
        <w:rPr>
          <w:sz w:val="24"/>
        </w:rPr>
        <w:t xml:space="preserve">Use only </w:t>
      </w:r>
      <w:proofErr w:type="spellStart"/>
      <w:r w:rsidR="00057B6C">
        <w:rPr>
          <w:sz w:val="24"/>
        </w:rPr>
        <w:t>phakic</w:t>
      </w:r>
      <w:proofErr w:type="spellEnd"/>
      <w:r w:rsidR="00057B6C">
        <w:rPr>
          <w:sz w:val="24"/>
        </w:rPr>
        <w:t xml:space="preserve"> implant lenses specifically designed and approved for that</w:t>
      </w:r>
      <w:r w:rsidR="00057B6C">
        <w:rPr>
          <w:spacing w:val="-7"/>
          <w:sz w:val="24"/>
        </w:rPr>
        <w:t xml:space="preserve"> </w:t>
      </w:r>
      <w:r w:rsidR="00057B6C">
        <w:rPr>
          <w:sz w:val="24"/>
        </w:rPr>
        <w:t>purpose.</w:t>
      </w:r>
    </w:p>
    <w:p w14:paraId="5278E4D5" w14:textId="77777777" w:rsidR="00057B6C" w:rsidRDefault="00057B6C" w:rsidP="00057B6C">
      <w:pPr>
        <w:pStyle w:val="ListParagraph"/>
        <w:numPr>
          <w:ilvl w:val="0"/>
          <w:numId w:val="1"/>
        </w:numPr>
        <w:tabs>
          <w:tab w:val="left" w:pos="1800"/>
          <w:tab w:val="left" w:pos="1801"/>
        </w:tabs>
        <w:spacing w:before="79"/>
        <w:ind w:right="1504"/>
        <w:rPr>
          <w:rFonts w:ascii="Symbol" w:hAnsi="Symbol"/>
          <w:sz w:val="24"/>
        </w:rPr>
      </w:pPr>
      <w:r>
        <w:rPr>
          <w:sz w:val="24"/>
        </w:rPr>
        <w:t>Clarify the approved range for myopia, hyperopia, and astigmatism, as well as other</w:t>
      </w:r>
      <w:r>
        <w:rPr>
          <w:spacing w:val="-32"/>
          <w:sz w:val="24"/>
        </w:rPr>
        <w:t xml:space="preserve"> </w:t>
      </w:r>
      <w:r>
        <w:rPr>
          <w:sz w:val="24"/>
        </w:rPr>
        <w:t>labeled indications, such as presbyopia or anterior chamber</w:t>
      </w:r>
      <w:r>
        <w:rPr>
          <w:spacing w:val="-5"/>
          <w:sz w:val="24"/>
        </w:rPr>
        <w:t xml:space="preserve"> </w:t>
      </w:r>
      <w:r>
        <w:rPr>
          <w:sz w:val="24"/>
        </w:rPr>
        <w:t>depth.</w:t>
      </w:r>
    </w:p>
    <w:p w14:paraId="02EF9E18" w14:textId="77777777" w:rsidR="00057B6C" w:rsidRDefault="00057B6C" w:rsidP="00057B6C">
      <w:pPr>
        <w:pStyle w:val="ListParagraph"/>
        <w:numPr>
          <w:ilvl w:val="0"/>
          <w:numId w:val="1"/>
        </w:numPr>
        <w:tabs>
          <w:tab w:val="left" w:pos="1800"/>
          <w:tab w:val="left" w:pos="1801"/>
        </w:tabs>
        <w:spacing w:line="242" w:lineRule="auto"/>
        <w:ind w:right="1932"/>
        <w:rPr>
          <w:rFonts w:ascii="Symbol" w:hAnsi="Symbol"/>
          <w:sz w:val="24"/>
        </w:rPr>
      </w:pPr>
      <w:r>
        <w:rPr>
          <w:sz w:val="24"/>
        </w:rPr>
        <w:t>Determine if the patient meets FDA-approved criteria. Document your decision-making process for off-label use, including why you feel this is the best option for the</w:t>
      </w:r>
      <w:r>
        <w:rPr>
          <w:spacing w:val="-38"/>
          <w:sz w:val="24"/>
        </w:rPr>
        <w:t xml:space="preserve"> </w:t>
      </w:r>
      <w:r>
        <w:rPr>
          <w:sz w:val="24"/>
        </w:rPr>
        <w:t>patient.</w:t>
      </w:r>
    </w:p>
    <w:p w14:paraId="3D90A29C" w14:textId="77777777" w:rsidR="00057B6C" w:rsidRDefault="00057B6C" w:rsidP="00057B6C">
      <w:pPr>
        <w:pStyle w:val="ListParagraph"/>
        <w:numPr>
          <w:ilvl w:val="0"/>
          <w:numId w:val="1"/>
        </w:numPr>
        <w:tabs>
          <w:tab w:val="left" w:pos="1800"/>
          <w:tab w:val="left" w:pos="1801"/>
        </w:tabs>
        <w:spacing w:line="301" w:lineRule="exact"/>
        <w:ind w:hanging="361"/>
        <w:rPr>
          <w:rFonts w:ascii="Symbol" w:hAnsi="Symbol"/>
          <w:sz w:val="24"/>
        </w:rPr>
      </w:pPr>
      <w:r>
        <w:rPr>
          <w:sz w:val="24"/>
          <w:u w:val="single"/>
        </w:rPr>
        <w:t>IOLs used in refractive lens</w:t>
      </w:r>
      <w:r>
        <w:rPr>
          <w:spacing w:val="2"/>
          <w:sz w:val="24"/>
          <w:u w:val="single"/>
        </w:rPr>
        <w:t xml:space="preserve"> </w:t>
      </w:r>
      <w:r>
        <w:rPr>
          <w:sz w:val="24"/>
          <w:u w:val="single"/>
        </w:rPr>
        <w:t>exchange</w:t>
      </w:r>
    </w:p>
    <w:p w14:paraId="70BB14BC" w14:textId="77777777" w:rsidR="007A1D3D" w:rsidRPr="007A1D3D" w:rsidRDefault="00057B6C" w:rsidP="00057B6C">
      <w:pPr>
        <w:pStyle w:val="ListParagraph"/>
        <w:numPr>
          <w:ilvl w:val="1"/>
          <w:numId w:val="1"/>
        </w:numPr>
        <w:tabs>
          <w:tab w:val="left" w:pos="1800"/>
          <w:tab w:val="left" w:pos="1801"/>
        </w:tabs>
        <w:spacing w:line="305" w:lineRule="exact"/>
        <w:rPr>
          <w:rFonts w:ascii="Symbol" w:hAnsi="Symbol"/>
          <w:sz w:val="24"/>
        </w:rPr>
      </w:pPr>
      <w:r>
        <w:rPr>
          <w:sz w:val="24"/>
        </w:rPr>
        <w:t>Since IOLs are approved for cataract surgery, all use in RLE is</w:t>
      </w:r>
      <w:r>
        <w:rPr>
          <w:spacing w:val="-7"/>
          <w:sz w:val="24"/>
        </w:rPr>
        <w:t xml:space="preserve"> </w:t>
      </w:r>
      <w:r>
        <w:rPr>
          <w:sz w:val="24"/>
        </w:rPr>
        <w:t>off-label.</w:t>
      </w:r>
      <w:r w:rsidR="00314C8A">
        <w:rPr>
          <w:sz w:val="24"/>
        </w:rPr>
        <w:t xml:space="preserve"> Obtain and document </w:t>
      </w:r>
    </w:p>
    <w:p w14:paraId="54176DE0" w14:textId="7591FD24" w:rsidR="00057B6C" w:rsidRDefault="00314C8A" w:rsidP="007A1D3D">
      <w:pPr>
        <w:pStyle w:val="ListParagraph"/>
        <w:tabs>
          <w:tab w:val="left" w:pos="1800"/>
          <w:tab w:val="left" w:pos="1801"/>
        </w:tabs>
        <w:spacing w:line="305" w:lineRule="exact"/>
        <w:ind w:left="2520" w:firstLine="0"/>
        <w:rPr>
          <w:sz w:val="24"/>
        </w:rPr>
      </w:pPr>
      <w:r>
        <w:rPr>
          <w:sz w:val="24"/>
        </w:rPr>
        <w:t>off-label consent (see section #3</w:t>
      </w:r>
      <w:r w:rsidR="00B5176F">
        <w:rPr>
          <w:sz w:val="24"/>
        </w:rPr>
        <w:t xml:space="preserve"> regarding informed consent recommendations</w:t>
      </w:r>
      <w:r>
        <w:rPr>
          <w:sz w:val="24"/>
        </w:rPr>
        <w:t xml:space="preserve">). </w:t>
      </w:r>
    </w:p>
    <w:p w14:paraId="7CA94237" w14:textId="77777777" w:rsidR="00106CB7" w:rsidRDefault="00106CB7" w:rsidP="007A1D3D">
      <w:pPr>
        <w:pStyle w:val="ListParagraph"/>
        <w:tabs>
          <w:tab w:val="left" w:pos="1800"/>
          <w:tab w:val="left" w:pos="1801"/>
        </w:tabs>
        <w:spacing w:line="305" w:lineRule="exact"/>
        <w:ind w:left="2520" w:firstLine="0"/>
        <w:rPr>
          <w:rFonts w:ascii="Symbol" w:hAnsi="Symbol"/>
          <w:sz w:val="24"/>
        </w:rPr>
      </w:pPr>
      <w:bookmarkStart w:id="0" w:name="_GoBack"/>
      <w:bookmarkEnd w:id="0"/>
    </w:p>
    <w:p w14:paraId="21DF14B3" w14:textId="77777777" w:rsidR="009D1D55" w:rsidRDefault="009D1D55" w:rsidP="00057B6C">
      <w:pPr>
        <w:spacing w:line="305" w:lineRule="exact"/>
        <w:rPr>
          <w:rFonts w:ascii="Symbol" w:hAnsi="Symbol"/>
          <w:sz w:val="24"/>
        </w:rPr>
      </w:pPr>
    </w:p>
    <w:p w14:paraId="0629E734" w14:textId="77777777" w:rsidR="009D1D55" w:rsidRDefault="009D1D55" w:rsidP="009D1D55">
      <w:pPr>
        <w:pStyle w:val="Heading1"/>
        <w:numPr>
          <w:ilvl w:val="0"/>
          <w:numId w:val="25"/>
        </w:numPr>
        <w:jc w:val="both"/>
      </w:pPr>
      <w:r>
        <w:rPr>
          <w:color w:val="006FC0"/>
        </w:rPr>
        <w:lastRenderedPageBreak/>
        <w:t>Informed consent discussion and forms</w:t>
      </w:r>
    </w:p>
    <w:p w14:paraId="10977702" w14:textId="77777777" w:rsidR="009D1D55" w:rsidRDefault="009D1D55" w:rsidP="009D1D55">
      <w:pPr>
        <w:pStyle w:val="ListParagraph"/>
        <w:numPr>
          <w:ilvl w:val="0"/>
          <w:numId w:val="1"/>
        </w:numPr>
        <w:tabs>
          <w:tab w:val="left" w:pos="1801"/>
        </w:tabs>
        <w:ind w:right="1660"/>
        <w:jc w:val="both"/>
        <w:rPr>
          <w:rFonts w:ascii="Symbol" w:hAnsi="Symbol"/>
          <w:sz w:val="24"/>
        </w:rPr>
      </w:pPr>
      <w:r>
        <w:rPr>
          <w:sz w:val="24"/>
        </w:rPr>
        <w:t>Conduct and document an informed consent discussion with each patient. Although other health care professionals may be involved in the informed consent process, this duty may not be delegated exclusively to non-physician</w:t>
      </w:r>
      <w:r>
        <w:rPr>
          <w:spacing w:val="-7"/>
          <w:sz w:val="24"/>
        </w:rPr>
        <w:t xml:space="preserve"> </w:t>
      </w:r>
      <w:r>
        <w:rPr>
          <w:sz w:val="24"/>
        </w:rPr>
        <w:t>staff.</w:t>
      </w:r>
    </w:p>
    <w:p w14:paraId="1DBD3549" w14:textId="77777777" w:rsidR="009D1D55" w:rsidRDefault="009D1D55" w:rsidP="009D1D55">
      <w:pPr>
        <w:pStyle w:val="ListParagraph"/>
        <w:numPr>
          <w:ilvl w:val="0"/>
          <w:numId w:val="1"/>
        </w:numPr>
        <w:tabs>
          <w:tab w:val="left" w:pos="1800"/>
          <w:tab w:val="left" w:pos="1801"/>
        </w:tabs>
        <w:spacing w:line="242" w:lineRule="auto"/>
        <w:ind w:right="2151"/>
        <w:rPr>
          <w:rFonts w:ascii="Symbol" w:hAnsi="Symbol"/>
          <w:sz w:val="24"/>
        </w:rPr>
      </w:pPr>
      <w:r>
        <w:rPr>
          <w:sz w:val="24"/>
        </w:rPr>
        <w:t>Inform patients of the risk of progressive myopia and under-correction, especially</w:t>
      </w:r>
      <w:r>
        <w:rPr>
          <w:spacing w:val="-35"/>
          <w:sz w:val="24"/>
        </w:rPr>
        <w:t xml:space="preserve"> </w:t>
      </w:r>
      <w:r>
        <w:rPr>
          <w:sz w:val="24"/>
        </w:rPr>
        <w:t>for patients younger than 25 years of</w:t>
      </w:r>
      <w:r>
        <w:rPr>
          <w:spacing w:val="-3"/>
          <w:sz w:val="24"/>
        </w:rPr>
        <w:t xml:space="preserve"> </w:t>
      </w:r>
      <w:r>
        <w:rPr>
          <w:sz w:val="24"/>
        </w:rPr>
        <w:t>age.</w:t>
      </w:r>
    </w:p>
    <w:p w14:paraId="7EB1F5C7" w14:textId="2BBF2513" w:rsidR="009D1D55" w:rsidRDefault="009D1D55" w:rsidP="009D1D55">
      <w:pPr>
        <w:pStyle w:val="ListParagraph"/>
        <w:numPr>
          <w:ilvl w:val="0"/>
          <w:numId w:val="1"/>
        </w:numPr>
        <w:tabs>
          <w:tab w:val="left" w:pos="1800"/>
          <w:tab w:val="left" w:pos="1801"/>
        </w:tabs>
        <w:ind w:right="1673"/>
        <w:rPr>
          <w:rFonts w:ascii="Symbol" w:hAnsi="Symbol"/>
          <w:sz w:val="24"/>
        </w:rPr>
      </w:pPr>
      <w:r>
        <w:rPr>
          <w:sz w:val="24"/>
        </w:rPr>
        <w:t>Use a separate consent form for LASIK surgery performed in conjunction with or</w:t>
      </w:r>
      <w:r w:rsidR="0049477A">
        <w:rPr>
          <w:sz w:val="24"/>
        </w:rPr>
        <w:t xml:space="preserve"> </w:t>
      </w:r>
      <w:r>
        <w:rPr>
          <w:spacing w:val="-38"/>
          <w:sz w:val="24"/>
        </w:rPr>
        <w:t xml:space="preserve"> </w:t>
      </w:r>
      <w:r>
        <w:rPr>
          <w:sz w:val="24"/>
        </w:rPr>
        <w:t xml:space="preserve">following </w:t>
      </w:r>
      <w:proofErr w:type="spellStart"/>
      <w:r>
        <w:rPr>
          <w:sz w:val="24"/>
        </w:rPr>
        <w:t>phakic</w:t>
      </w:r>
      <w:proofErr w:type="spellEnd"/>
      <w:r>
        <w:rPr>
          <w:sz w:val="24"/>
        </w:rPr>
        <w:t xml:space="preserve"> implant surgery (“</w:t>
      </w:r>
      <w:proofErr w:type="spellStart"/>
      <w:r>
        <w:rPr>
          <w:sz w:val="24"/>
        </w:rPr>
        <w:t>bioptics</w:t>
      </w:r>
      <w:proofErr w:type="spellEnd"/>
      <w:r>
        <w:rPr>
          <w:sz w:val="24"/>
        </w:rPr>
        <w:t>”</w:t>
      </w:r>
      <w:r>
        <w:rPr>
          <w:spacing w:val="1"/>
          <w:sz w:val="24"/>
        </w:rPr>
        <w:t xml:space="preserve"> </w:t>
      </w:r>
      <w:r>
        <w:rPr>
          <w:sz w:val="24"/>
        </w:rPr>
        <w:t>procedures).</w:t>
      </w:r>
    </w:p>
    <w:p w14:paraId="0C2EBF58" w14:textId="77777777" w:rsidR="009D1D55" w:rsidRDefault="009D1D55" w:rsidP="009D1D55">
      <w:pPr>
        <w:pStyle w:val="ListParagraph"/>
        <w:numPr>
          <w:ilvl w:val="0"/>
          <w:numId w:val="1"/>
        </w:numPr>
        <w:tabs>
          <w:tab w:val="left" w:pos="1800"/>
          <w:tab w:val="left" w:pos="1801"/>
        </w:tabs>
        <w:ind w:right="2437"/>
        <w:rPr>
          <w:rFonts w:ascii="Symbol" w:hAnsi="Symbol"/>
          <w:sz w:val="24"/>
        </w:rPr>
      </w:pPr>
      <w:r>
        <w:rPr>
          <w:sz w:val="24"/>
        </w:rPr>
        <w:t xml:space="preserve">Obtain written informed consent for planned surgical </w:t>
      </w:r>
      <w:proofErr w:type="spellStart"/>
      <w:r>
        <w:rPr>
          <w:sz w:val="24"/>
        </w:rPr>
        <w:t>comanagement</w:t>
      </w:r>
      <w:proofErr w:type="spellEnd"/>
      <w:r>
        <w:rPr>
          <w:sz w:val="24"/>
        </w:rPr>
        <w:t>. See</w:t>
      </w:r>
      <w:r>
        <w:rPr>
          <w:spacing w:val="-34"/>
          <w:sz w:val="24"/>
        </w:rPr>
        <w:t xml:space="preserve"> </w:t>
      </w:r>
      <w:r w:rsidR="00C21E8C">
        <w:rPr>
          <w:spacing w:val="-34"/>
          <w:sz w:val="24"/>
        </w:rPr>
        <w:t xml:space="preserve"> </w:t>
      </w:r>
      <w:r>
        <w:rPr>
          <w:sz w:val="24"/>
        </w:rPr>
        <w:t xml:space="preserve">OMIC’s recommendations for surgical </w:t>
      </w:r>
      <w:proofErr w:type="spellStart"/>
      <w:r>
        <w:rPr>
          <w:sz w:val="24"/>
        </w:rPr>
        <w:t>comanagement</w:t>
      </w:r>
      <w:proofErr w:type="spellEnd"/>
      <w:r>
        <w:rPr>
          <w:sz w:val="24"/>
        </w:rPr>
        <w:t xml:space="preserve"> and sample consent form at</w:t>
      </w:r>
      <w:hyperlink r:id="rId8">
        <w:r>
          <w:rPr>
            <w:color w:val="944F71"/>
            <w:sz w:val="24"/>
            <w:u w:val="single" w:color="944F71"/>
          </w:rPr>
          <w:t xml:space="preserve"> https://www.omic.com/comanagement-of-surgical-patients/</w:t>
        </w:r>
      </w:hyperlink>
      <w:r>
        <w:rPr>
          <w:sz w:val="24"/>
        </w:rPr>
        <w:t>.</w:t>
      </w:r>
    </w:p>
    <w:p w14:paraId="786F43BE" w14:textId="77777777" w:rsidR="009D1D55" w:rsidRDefault="009D1D55" w:rsidP="009D1D55">
      <w:pPr>
        <w:pStyle w:val="ListParagraph"/>
        <w:numPr>
          <w:ilvl w:val="0"/>
          <w:numId w:val="1"/>
        </w:numPr>
        <w:tabs>
          <w:tab w:val="left" w:pos="1800"/>
          <w:tab w:val="left" w:pos="1801"/>
        </w:tabs>
        <w:ind w:right="1510"/>
        <w:rPr>
          <w:rFonts w:ascii="Symbol" w:hAnsi="Symbol"/>
          <w:sz w:val="24"/>
        </w:rPr>
      </w:pPr>
      <w:r>
        <w:rPr>
          <w:sz w:val="24"/>
        </w:rPr>
        <w:t xml:space="preserve">Some states have passed legislation regarding </w:t>
      </w:r>
      <w:proofErr w:type="spellStart"/>
      <w:r>
        <w:rPr>
          <w:sz w:val="24"/>
        </w:rPr>
        <w:t>comanagement</w:t>
      </w:r>
      <w:proofErr w:type="spellEnd"/>
      <w:r>
        <w:rPr>
          <w:sz w:val="24"/>
        </w:rPr>
        <w:t xml:space="preserve"> and the surgeon’s duties</w:t>
      </w:r>
      <w:r>
        <w:rPr>
          <w:spacing w:val="-32"/>
          <w:sz w:val="24"/>
        </w:rPr>
        <w:t xml:space="preserve"> </w:t>
      </w:r>
      <w:r>
        <w:rPr>
          <w:sz w:val="24"/>
        </w:rPr>
        <w:t>and responsibilities relating to postoperative care. Follow all postoperative care requirements of your</w:t>
      </w:r>
      <w:r>
        <w:rPr>
          <w:spacing w:val="2"/>
          <w:sz w:val="24"/>
        </w:rPr>
        <w:t xml:space="preserve"> </w:t>
      </w:r>
      <w:r>
        <w:rPr>
          <w:sz w:val="24"/>
        </w:rPr>
        <w:t>state.</w:t>
      </w:r>
    </w:p>
    <w:p w14:paraId="5F86D9BD" w14:textId="77777777" w:rsidR="009D1D55" w:rsidRDefault="009D1D55" w:rsidP="009D1D55">
      <w:pPr>
        <w:pStyle w:val="ListParagraph"/>
        <w:numPr>
          <w:ilvl w:val="0"/>
          <w:numId w:val="1"/>
        </w:numPr>
        <w:tabs>
          <w:tab w:val="left" w:pos="1800"/>
          <w:tab w:val="left" w:pos="1801"/>
        </w:tabs>
        <w:spacing w:line="305" w:lineRule="exact"/>
        <w:ind w:hanging="361"/>
        <w:rPr>
          <w:rFonts w:ascii="Symbol" w:hAnsi="Symbol"/>
          <w:sz w:val="24"/>
        </w:rPr>
      </w:pPr>
      <w:r>
        <w:rPr>
          <w:sz w:val="24"/>
        </w:rPr>
        <w:t>OMIC sample consent</w:t>
      </w:r>
      <w:r>
        <w:rPr>
          <w:spacing w:val="-2"/>
          <w:sz w:val="24"/>
        </w:rPr>
        <w:t xml:space="preserve"> </w:t>
      </w:r>
      <w:r>
        <w:rPr>
          <w:sz w:val="24"/>
        </w:rPr>
        <w:t>forms:</w:t>
      </w:r>
    </w:p>
    <w:p w14:paraId="535C2277" w14:textId="77777777" w:rsidR="009D1D55" w:rsidRDefault="009D1D55" w:rsidP="009D1D55">
      <w:pPr>
        <w:pStyle w:val="ListParagraph"/>
        <w:numPr>
          <w:ilvl w:val="1"/>
          <w:numId w:val="1"/>
        </w:numPr>
        <w:tabs>
          <w:tab w:val="left" w:pos="2521"/>
        </w:tabs>
        <w:spacing w:line="298" w:lineRule="exact"/>
        <w:ind w:hanging="361"/>
        <w:rPr>
          <w:sz w:val="24"/>
        </w:rPr>
      </w:pPr>
      <w:proofErr w:type="spellStart"/>
      <w:r>
        <w:rPr>
          <w:sz w:val="24"/>
        </w:rPr>
        <w:t>Phakic</w:t>
      </w:r>
      <w:proofErr w:type="spellEnd"/>
      <w:r>
        <w:rPr>
          <w:sz w:val="24"/>
        </w:rPr>
        <w:t xml:space="preserve"> implants:</w:t>
      </w:r>
      <w:r>
        <w:rPr>
          <w:color w:val="944F71"/>
          <w:spacing w:val="-1"/>
          <w:sz w:val="24"/>
        </w:rPr>
        <w:t xml:space="preserve"> </w:t>
      </w:r>
      <w:hyperlink r:id="rId9" w:history="1">
        <w:r w:rsidR="00E71D33" w:rsidRPr="00E71D33">
          <w:rPr>
            <w:rStyle w:val="Hyperlink"/>
            <w:spacing w:val="-1"/>
            <w:sz w:val="24"/>
          </w:rPr>
          <w:t>https://www.omic.com/verisyse-phakic-implant-consent/</w:t>
        </w:r>
      </w:hyperlink>
    </w:p>
    <w:p w14:paraId="10A32446" w14:textId="77777777" w:rsidR="009D1D55" w:rsidRDefault="009D1D55" w:rsidP="009D1D55">
      <w:pPr>
        <w:pStyle w:val="ListParagraph"/>
        <w:numPr>
          <w:ilvl w:val="1"/>
          <w:numId w:val="1"/>
        </w:numPr>
        <w:tabs>
          <w:tab w:val="left" w:pos="2521"/>
        </w:tabs>
        <w:spacing w:line="232" w:lineRule="auto"/>
        <w:ind w:right="2488"/>
        <w:rPr>
          <w:sz w:val="24"/>
        </w:rPr>
      </w:pPr>
      <w:r>
        <w:rPr>
          <w:sz w:val="24"/>
        </w:rPr>
        <w:t>Immediate sequential surgery:</w:t>
      </w:r>
      <w:r>
        <w:rPr>
          <w:color w:val="944F71"/>
          <w:sz w:val="24"/>
        </w:rPr>
        <w:t xml:space="preserve"> </w:t>
      </w:r>
      <w:hyperlink r:id="rId10" w:history="1">
        <w:r w:rsidR="00486DDD" w:rsidRPr="00486DDD">
          <w:rPr>
            <w:rStyle w:val="Hyperlink"/>
            <w:sz w:val="24"/>
          </w:rPr>
          <w:t>https://www.omic.com/bilateral-phakic-implant-consent-addendum/</w:t>
        </w:r>
      </w:hyperlink>
    </w:p>
    <w:p w14:paraId="5DB33A44" w14:textId="77777777" w:rsidR="009D1D55" w:rsidRDefault="009D1D55" w:rsidP="009D1D55">
      <w:pPr>
        <w:pStyle w:val="ListParagraph"/>
        <w:numPr>
          <w:ilvl w:val="1"/>
          <w:numId w:val="1"/>
        </w:numPr>
        <w:tabs>
          <w:tab w:val="left" w:pos="2521"/>
        </w:tabs>
        <w:spacing w:before="1" w:line="297" w:lineRule="exact"/>
        <w:ind w:hanging="361"/>
        <w:rPr>
          <w:sz w:val="24"/>
        </w:rPr>
      </w:pPr>
      <w:r>
        <w:rPr>
          <w:sz w:val="24"/>
        </w:rPr>
        <w:t>Refractive lens exchange:</w:t>
      </w:r>
      <w:r>
        <w:rPr>
          <w:color w:val="944F71"/>
          <w:spacing w:val="-2"/>
          <w:sz w:val="24"/>
        </w:rPr>
        <w:t xml:space="preserve"> </w:t>
      </w:r>
      <w:hyperlink r:id="rId11">
        <w:r>
          <w:rPr>
            <w:color w:val="944F71"/>
            <w:sz w:val="24"/>
            <w:u w:val="single" w:color="944F71"/>
          </w:rPr>
          <w:t>www.omic.com/refractive-lens-exchange</w:t>
        </w:r>
      </w:hyperlink>
      <w:r>
        <w:rPr>
          <w:sz w:val="24"/>
        </w:rPr>
        <w:t>.</w:t>
      </w:r>
    </w:p>
    <w:p w14:paraId="3FCF1C51" w14:textId="77777777" w:rsidR="009D1D55" w:rsidRDefault="009D1D55" w:rsidP="009D1D55">
      <w:pPr>
        <w:pStyle w:val="ListParagraph"/>
        <w:numPr>
          <w:ilvl w:val="1"/>
          <w:numId w:val="1"/>
        </w:numPr>
        <w:tabs>
          <w:tab w:val="left" w:pos="2521"/>
        </w:tabs>
        <w:spacing w:before="3" w:line="232" w:lineRule="auto"/>
        <w:ind w:right="1451"/>
        <w:rPr>
          <w:sz w:val="24"/>
        </w:rPr>
      </w:pPr>
      <w:r>
        <w:rPr>
          <w:noProof/>
          <w:lang w:bidi="ar-SA"/>
        </w:rPr>
        <mc:AlternateContent>
          <mc:Choice Requires="wps">
            <w:drawing>
              <wp:anchor distT="0" distB="0" distL="114300" distR="114300" simplePos="0" relativeHeight="251662336" behindDoc="1" locked="0" layoutInCell="1" allowOverlap="1" wp14:anchorId="301DFA30" wp14:editId="0913E05A">
                <wp:simplePos x="0" y="0"/>
                <wp:positionH relativeFrom="page">
                  <wp:posOffset>2466340</wp:posOffset>
                </wp:positionH>
                <wp:positionV relativeFrom="paragraph">
                  <wp:posOffset>159385</wp:posOffset>
                </wp:positionV>
                <wp:extent cx="35560" cy="107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C690" id="Rectangle 3" o:spid="_x0000_s1026" style="position:absolute;margin-left:194.2pt;margin-top:12.55pt;width:2.8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" fillcolor="blue" stroked="f">
                <v:path arrowok="t"/>
                <w10:wrap anchorx="page"/>
              </v:rect>
            </w:pict>
          </mc:Fallback>
        </mc:AlternateContent>
      </w:r>
      <w:r>
        <w:rPr>
          <w:sz w:val="24"/>
        </w:rPr>
        <w:t>Off-label use:</w:t>
      </w:r>
      <w:r>
        <w:rPr>
          <w:color w:val="944F71"/>
          <w:sz w:val="24"/>
        </w:rPr>
        <w:t xml:space="preserve"> </w:t>
      </w:r>
      <w:hyperlink r:id="rId12">
        <w:r>
          <w:rPr>
            <w:color w:val="944F71"/>
            <w:sz w:val="24"/>
            <w:u w:val="single" w:color="944F71"/>
          </w:rPr>
          <w:t>https://www.omic.com/informed-consent-for-off-label-use-of-a-drug-</w:t>
        </w:r>
      </w:hyperlink>
      <w:hyperlink r:id="rId13">
        <w:r>
          <w:rPr>
            <w:color w:val="944F71"/>
            <w:sz w:val="24"/>
            <w:u w:val="single" w:color="944F71"/>
          </w:rPr>
          <w:t xml:space="preserve"> or-device/</w:t>
        </w:r>
      </w:hyperlink>
      <w:r>
        <w:rPr>
          <w:sz w:val="24"/>
        </w:rPr>
        <w:t>.</w:t>
      </w:r>
    </w:p>
    <w:p w14:paraId="077E328F" w14:textId="77777777" w:rsidR="009D1D55" w:rsidRDefault="009D1D55" w:rsidP="009D1D55">
      <w:pPr>
        <w:pStyle w:val="BodyText"/>
        <w:ind w:left="0" w:firstLine="0"/>
        <w:rPr>
          <w:sz w:val="20"/>
        </w:rPr>
      </w:pPr>
    </w:p>
    <w:p w14:paraId="0F665758" w14:textId="77777777" w:rsidR="009D1D55" w:rsidRDefault="009D1D55" w:rsidP="009D1D55">
      <w:pPr>
        <w:pStyle w:val="Heading1"/>
        <w:spacing w:line="341" w:lineRule="exact"/>
      </w:pPr>
      <w:r>
        <w:rPr>
          <w:color w:val="006FC0"/>
        </w:rPr>
        <w:t>4. Immediate sequential bilateral surgery (ISBS)</w:t>
      </w:r>
    </w:p>
    <w:p w14:paraId="643171B4" w14:textId="77777777" w:rsidR="009D1D55" w:rsidRDefault="009D1D55" w:rsidP="009D1D55">
      <w:pPr>
        <w:pStyle w:val="ListParagraph"/>
        <w:numPr>
          <w:ilvl w:val="0"/>
          <w:numId w:val="1"/>
        </w:numPr>
        <w:tabs>
          <w:tab w:val="left" w:pos="1800"/>
          <w:tab w:val="left" w:pos="1801"/>
        </w:tabs>
        <w:ind w:right="1691"/>
        <w:rPr>
          <w:rFonts w:ascii="Symbol" w:hAnsi="Symbol"/>
          <w:sz w:val="24"/>
        </w:rPr>
      </w:pPr>
      <w:r>
        <w:rPr>
          <w:sz w:val="24"/>
        </w:rPr>
        <w:t xml:space="preserve">The risk of intraocular refractive surgery is increased if both procedures are </w:t>
      </w:r>
      <w:r w:rsidR="00031C37">
        <w:rPr>
          <w:sz w:val="24"/>
        </w:rPr>
        <w:t>performed on</w:t>
      </w:r>
      <w:r w:rsidR="00031C37">
        <w:rPr>
          <w:spacing w:val="-38"/>
          <w:sz w:val="24"/>
        </w:rPr>
        <w:t xml:space="preserve"> </w:t>
      </w:r>
      <w:r>
        <w:rPr>
          <w:sz w:val="24"/>
        </w:rPr>
        <w:t>the same day. Complications can occur in either or both</w:t>
      </w:r>
      <w:r>
        <w:rPr>
          <w:spacing w:val="-6"/>
          <w:sz w:val="24"/>
        </w:rPr>
        <w:t xml:space="preserve"> </w:t>
      </w:r>
      <w:r>
        <w:rPr>
          <w:sz w:val="24"/>
        </w:rPr>
        <w:t>eyes.</w:t>
      </w:r>
    </w:p>
    <w:p w14:paraId="57E40312" w14:textId="77777777" w:rsidR="009D1D55" w:rsidRDefault="009D1D55" w:rsidP="009D1D55">
      <w:pPr>
        <w:pStyle w:val="ListParagraph"/>
        <w:numPr>
          <w:ilvl w:val="0"/>
          <w:numId w:val="1"/>
        </w:numPr>
        <w:tabs>
          <w:tab w:val="left" w:pos="1800"/>
          <w:tab w:val="left" w:pos="1801"/>
        </w:tabs>
        <w:spacing w:line="305" w:lineRule="exact"/>
        <w:ind w:hanging="361"/>
        <w:rPr>
          <w:rFonts w:ascii="Symbol" w:hAnsi="Symbol"/>
          <w:sz w:val="24"/>
        </w:rPr>
      </w:pPr>
      <w:r>
        <w:rPr>
          <w:sz w:val="24"/>
        </w:rPr>
        <w:t>Determine if the patient is a suitable candidate for</w:t>
      </w:r>
      <w:r>
        <w:rPr>
          <w:spacing w:val="-3"/>
          <w:sz w:val="24"/>
        </w:rPr>
        <w:t xml:space="preserve"> </w:t>
      </w:r>
      <w:r>
        <w:rPr>
          <w:sz w:val="24"/>
        </w:rPr>
        <w:t>ISBS.</w:t>
      </w:r>
    </w:p>
    <w:p w14:paraId="6156ACF8" w14:textId="77777777" w:rsidR="009D1D55" w:rsidRDefault="009D1D55" w:rsidP="009D1D55">
      <w:pPr>
        <w:pStyle w:val="ListParagraph"/>
        <w:numPr>
          <w:ilvl w:val="0"/>
          <w:numId w:val="1"/>
        </w:numPr>
        <w:tabs>
          <w:tab w:val="left" w:pos="1800"/>
          <w:tab w:val="left" w:pos="1801"/>
        </w:tabs>
        <w:spacing w:line="305" w:lineRule="exact"/>
        <w:ind w:hanging="361"/>
        <w:rPr>
          <w:rFonts w:ascii="Symbol" w:hAnsi="Symbol"/>
          <w:sz w:val="24"/>
        </w:rPr>
      </w:pPr>
      <w:r>
        <w:rPr>
          <w:sz w:val="24"/>
        </w:rPr>
        <w:t>Perform ISBS only on patients at low risk for surgical complications.</w:t>
      </w:r>
    </w:p>
    <w:p w14:paraId="5536815B" w14:textId="77777777" w:rsidR="009D1D55" w:rsidRDefault="009D1D55" w:rsidP="009D1D55">
      <w:pPr>
        <w:pStyle w:val="ListParagraph"/>
        <w:numPr>
          <w:ilvl w:val="0"/>
          <w:numId w:val="1"/>
        </w:numPr>
        <w:tabs>
          <w:tab w:val="left" w:pos="1800"/>
          <w:tab w:val="left" w:pos="1801"/>
        </w:tabs>
        <w:ind w:right="1474"/>
        <w:rPr>
          <w:rFonts w:ascii="Symbol" w:hAnsi="Symbol"/>
          <w:sz w:val="24"/>
        </w:rPr>
      </w:pPr>
      <w:r>
        <w:rPr>
          <w:rFonts w:ascii="Times New Roman" w:hAnsi="Times New Roman"/>
          <w:spacing w:val="-60"/>
          <w:sz w:val="24"/>
          <w:u w:val="single"/>
        </w:rPr>
        <w:t xml:space="preserve"> </w:t>
      </w:r>
      <w:r>
        <w:rPr>
          <w:sz w:val="24"/>
          <w:u w:val="single"/>
        </w:rPr>
        <w:t>Consider performing the procedure on the fellow eye on another day for “complex” surgical cases.</w:t>
      </w:r>
      <w:r>
        <w:rPr>
          <w:sz w:val="24"/>
        </w:rPr>
        <w:t xml:space="preserve"> Examples of “complex” cases include patients with amblyopia, </w:t>
      </w:r>
      <w:proofErr w:type="spellStart"/>
      <w:r>
        <w:rPr>
          <w:sz w:val="24"/>
        </w:rPr>
        <w:t>pseudoexfoliation</w:t>
      </w:r>
      <w:proofErr w:type="spellEnd"/>
      <w:r>
        <w:rPr>
          <w:sz w:val="24"/>
        </w:rPr>
        <w:t xml:space="preserve"> syndrome, previous ocular trauma, active macular SRNVM with leakage, significant diabetic retinopathy, high hyperopes with axial length &lt; 20 mm (RLE), as well as those at higher risk of infection, such as patients who are immunocompromised or have poorly controlled diabetes.</w:t>
      </w:r>
    </w:p>
    <w:p w14:paraId="270D630A" w14:textId="77777777" w:rsidR="009D1D55" w:rsidRPr="00F94120" w:rsidRDefault="009D1D55" w:rsidP="00FF3596">
      <w:pPr>
        <w:pStyle w:val="ListParagraph"/>
        <w:numPr>
          <w:ilvl w:val="0"/>
          <w:numId w:val="1"/>
        </w:numPr>
        <w:tabs>
          <w:tab w:val="left" w:pos="1800"/>
          <w:tab w:val="left" w:pos="1801"/>
        </w:tabs>
        <w:spacing w:before="1"/>
        <w:ind w:right="1438"/>
        <w:rPr>
          <w:rFonts w:ascii="Symbol" w:hAnsi="Symbol"/>
          <w:sz w:val="24"/>
        </w:rPr>
      </w:pPr>
      <w:r>
        <w:rPr>
          <w:sz w:val="24"/>
          <w:u w:val="single"/>
        </w:rPr>
        <w:t>Consider ISBS only on patients for whom you can calculate the IOL power with a high degree of accuracy.</w:t>
      </w:r>
      <w:r>
        <w:rPr>
          <w:sz w:val="24"/>
        </w:rPr>
        <w:t xml:space="preserve"> Consider performing the procedure on the fellow eye on another day for patients for whom there is a greater than normal risk of having difficulties calculating or selecting the appropriate IOL power. These types of patients include those who have previously undergone refractive surgery (e.g., LASIK, PRK, SMILE, CK, and RK), have significant corneal scarring or keratoconus, have extremely long or short axial lengths, or have conditions that make it difficult to cooperate for the optical or ultrasonic biometry (e.g., nystagmus or dementia</w:t>
      </w:r>
      <w:r w:rsidR="0062653C">
        <w:rPr>
          <w:sz w:val="24"/>
        </w:rPr>
        <w:t>).</w:t>
      </w:r>
    </w:p>
    <w:p w14:paraId="479D4E73" w14:textId="77777777" w:rsidR="00F94120" w:rsidRDefault="00F94120" w:rsidP="00F94120">
      <w:pPr>
        <w:tabs>
          <w:tab w:val="left" w:pos="1800"/>
          <w:tab w:val="left" w:pos="1801"/>
        </w:tabs>
        <w:spacing w:before="1"/>
        <w:ind w:right="1438"/>
        <w:rPr>
          <w:rFonts w:ascii="Symbol" w:hAnsi="Symbol"/>
          <w:sz w:val="24"/>
        </w:rPr>
      </w:pPr>
    </w:p>
    <w:p w14:paraId="78D7671E" w14:textId="77777777" w:rsidR="00FB18FD" w:rsidRDefault="00424610">
      <w:pPr>
        <w:pStyle w:val="BodyText"/>
        <w:ind w:left="0" w:firstLine="0"/>
        <w:rPr>
          <w:sz w:val="25"/>
        </w:rPr>
      </w:pPr>
      <w:r>
        <w:rPr>
          <w:noProof/>
          <w:lang w:bidi="ar-SA"/>
        </w:rPr>
        <w:lastRenderedPageBreak/>
        <mc:AlternateContent>
          <mc:Choice Requires="wps">
            <w:drawing>
              <wp:anchor distT="0" distB="0" distL="0" distR="0" simplePos="0" relativeHeight="251660288" behindDoc="1" locked="0" layoutInCell="1" allowOverlap="1" wp14:anchorId="5A929929" wp14:editId="450AAA23">
                <wp:simplePos x="0" y="0"/>
                <wp:positionH relativeFrom="page">
                  <wp:posOffset>843280</wp:posOffset>
                </wp:positionH>
                <wp:positionV relativeFrom="paragraph">
                  <wp:posOffset>222250</wp:posOffset>
                </wp:positionV>
                <wp:extent cx="6088380" cy="590550"/>
                <wp:effectExtent l="0" t="0" r="762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590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EE9D1E" w14:textId="77777777" w:rsidR="00FB18FD" w:rsidRDefault="00D26BC8">
                            <w:pPr>
                              <w:spacing w:before="21"/>
                              <w:ind w:left="108"/>
                              <w:rPr>
                                <w:b/>
                                <w:sz w:val="24"/>
                              </w:rPr>
                            </w:pPr>
                            <w:r>
                              <w:rPr>
                                <w:b/>
                                <w:color w:val="2D74B5"/>
                                <w:sz w:val="24"/>
                              </w:rPr>
                              <w:t xml:space="preserve">Need confidential risk management </w:t>
                            </w:r>
                            <w:r w:rsidR="00AD2B63">
                              <w:rPr>
                                <w:b/>
                                <w:color w:val="2D74B5"/>
                                <w:sz w:val="24"/>
                              </w:rPr>
                              <w:t>assistance</w:t>
                            </w:r>
                            <w:r>
                              <w:rPr>
                                <w:b/>
                                <w:color w:val="2D74B5"/>
                                <w:sz w:val="24"/>
                              </w:rPr>
                              <w:t>?</w:t>
                            </w:r>
                          </w:p>
                          <w:p w14:paraId="720E5A77" w14:textId="77777777" w:rsidR="00FB18FD" w:rsidRDefault="00D26BC8">
                            <w:pPr>
                              <w:pStyle w:val="BodyText"/>
                              <w:spacing w:line="242" w:lineRule="auto"/>
                              <w:ind w:left="108" w:firstLine="0"/>
                              <w:rPr>
                                <w:color w:val="2D74B5"/>
                                <w:spacing w:val="-3"/>
                              </w:rPr>
                            </w:pPr>
                            <w:r>
                              <w:rPr>
                                <w:color w:val="2D74B5"/>
                                <w:spacing w:val="-3"/>
                              </w:rPr>
                              <w:t xml:space="preserve">OMIC-insured ophthalmologists, optometrists, </w:t>
                            </w:r>
                            <w:r>
                              <w:rPr>
                                <w:color w:val="2D74B5"/>
                              </w:rPr>
                              <w:t xml:space="preserve">and </w:t>
                            </w:r>
                            <w:r>
                              <w:rPr>
                                <w:color w:val="2D74B5"/>
                                <w:spacing w:val="-3"/>
                              </w:rPr>
                              <w:t xml:space="preserve">practices </w:t>
                            </w:r>
                            <w:r>
                              <w:rPr>
                                <w:color w:val="2D74B5"/>
                              </w:rPr>
                              <w:t xml:space="preserve">are </w:t>
                            </w:r>
                            <w:r>
                              <w:rPr>
                                <w:color w:val="2D74B5"/>
                                <w:spacing w:val="-3"/>
                              </w:rPr>
                              <w:t xml:space="preserve">invited </w:t>
                            </w:r>
                            <w:r>
                              <w:rPr>
                                <w:color w:val="2D74B5"/>
                              </w:rPr>
                              <w:t xml:space="preserve">to </w:t>
                            </w:r>
                            <w:r>
                              <w:rPr>
                                <w:color w:val="2D74B5"/>
                                <w:spacing w:val="-3"/>
                              </w:rPr>
                              <w:t xml:space="preserve">contact OMIC’s Risk Management Department </w:t>
                            </w:r>
                            <w:r>
                              <w:rPr>
                                <w:color w:val="2D74B5"/>
                              </w:rPr>
                              <w:t xml:space="preserve">at (800) 562-6642, </w:t>
                            </w:r>
                            <w:r>
                              <w:rPr>
                                <w:color w:val="2D74B5"/>
                                <w:spacing w:val="-3"/>
                              </w:rPr>
                              <w:t xml:space="preserve">option </w:t>
                            </w:r>
                            <w:r>
                              <w:rPr>
                                <w:color w:val="2D74B5"/>
                              </w:rPr>
                              <w:t xml:space="preserve">4, or at </w:t>
                            </w:r>
                            <w:hyperlink r:id="rId14">
                              <w:r>
                                <w:rPr>
                                  <w:color w:val="2D74B5"/>
                                  <w:spacing w:val="-3"/>
                                  <w:u w:val="single" w:color="2D74B5"/>
                                </w:rPr>
                                <w:t>riskmanagement@omic.com</w:t>
                              </w:r>
                            </w:hyperlink>
                            <w:r>
                              <w:rPr>
                                <w:color w:val="2D74B5"/>
                                <w:spacing w:val="-3"/>
                              </w:rPr>
                              <w:t>.</w:t>
                            </w:r>
                          </w:p>
                          <w:p w14:paraId="2BB18DE1" w14:textId="77777777" w:rsidR="00AD2B63" w:rsidRDefault="00AD2B63">
                            <w:pPr>
                              <w:pStyle w:val="BodyText"/>
                              <w:spacing w:line="242" w:lineRule="auto"/>
                              <w:ind w:left="108"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842F" id="Text Box 2" o:spid="_x0000_s1027" type="#_x0000_t202" style="position:absolute;margin-left:66.4pt;margin-top:17.5pt;width:479.4pt;height: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" filled="f" strokeweight=".48pt">
                <v:path arrowok="t"/>
                <v:textbox inset="0,0,0,0">
                  <w:txbxContent>
                    <w:p w:rsidR="00FB18FD" w:rsidRDefault="00D26BC8">
                      <w:pPr>
                        <w:spacing w:before="21"/>
                        <w:ind w:left="108"/>
                        <w:rPr>
                          <w:b/>
                          <w:sz w:val="24"/>
                        </w:rPr>
                      </w:pPr>
                      <w:r>
                        <w:rPr>
                          <w:b/>
                          <w:color w:val="2D74B5"/>
                          <w:sz w:val="24"/>
                        </w:rPr>
                        <w:t xml:space="preserve">Need confidential risk management </w:t>
                      </w:r>
                      <w:r w:rsidR="00AD2B63">
                        <w:rPr>
                          <w:b/>
                          <w:color w:val="2D74B5"/>
                          <w:sz w:val="24"/>
                        </w:rPr>
                        <w:t>assistance</w:t>
                      </w:r>
                      <w:r>
                        <w:rPr>
                          <w:b/>
                          <w:color w:val="2D74B5"/>
                          <w:sz w:val="24"/>
                        </w:rPr>
                        <w:t>?</w:t>
                      </w:r>
                    </w:p>
                    <w:p w:rsidR="00FB18FD" w:rsidRDefault="00D26BC8">
                      <w:pPr>
                        <w:pStyle w:val="BodyText"/>
                        <w:spacing w:line="242" w:lineRule="auto"/>
                        <w:ind w:left="108" w:firstLine="0"/>
                        <w:rPr>
                          <w:color w:val="2D74B5"/>
                          <w:spacing w:val="-3"/>
                        </w:rPr>
                      </w:pPr>
                      <w:r>
                        <w:rPr>
                          <w:color w:val="2D74B5"/>
                          <w:spacing w:val="-3"/>
                        </w:rPr>
                        <w:t xml:space="preserve">OMIC-insured ophthalmologists, optometrists, </w:t>
                      </w:r>
                      <w:r>
                        <w:rPr>
                          <w:color w:val="2D74B5"/>
                        </w:rPr>
                        <w:t xml:space="preserve">and </w:t>
                      </w:r>
                      <w:r>
                        <w:rPr>
                          <w:color w:val="2D74B5"/>
                          <w:spacing w:val="-3"/>
                        </w:rPr>
                        <w:t xml:space="preserve">practices </w:t>
                      </w:r>
                      <w:r>
                        <w:rPr>
                          <w:color w:val="2D74B5"/>
                        </w:rPr>
                        <w:t xml:space="preserve">are </w:t>
                      </w:r>
                      <w:r>
                        <w:rPr>
                          <w:color w:val="2D74B5"/>
                          <w:spacing w:val="-3"/>
                        </w:rPr>
                        <w:t xml:space="preserve">invited </w:t>
                      </w:r>
                      <w:r>
                        <w:rPr>
                          <w:color w:val="2D74B5"/>
                        </w:rPr>
                        <w:t xml:space="preserve">to </w:t>
                      </w:r>
                      <w:r>
                        <w:rPr>
                          <w:color w:val="2D74B5"/>
                          <w:spacing w:val="-3"/>
                        </w:rPr>
                        <w:t xml:space="preserve">contact OMIC’s Risk Management Department </w:t>
                      </w:r>
                      <w:r>
                        <w:rPr>
                          <w:color w:val="2D74B5"/>
                        </w:rPr>
                        <w:t xml:space="preserve">at (800) 562-6642, </w:t>
                      </w:r>
                      <w:r>
                        <w:rPr>
                          <w:color w:val="2D74B5"/>
                          <w:spacing w:val="-3"/>
                        </w:rPr>
                        <w:t xml:space="preserve">option </w:t>
                      </w:r>
                      <w:r>
                        <w:rPr>
                          <w:color w:val="2D74B5"/>
                        </w:rPr>
                        <w:t xml:space="preserve">4, or at </w:t>
                      </w:r>
                      <w:hyperlink r:id="rId15">
                        <w:r>
                          <w:rPr>
                            <w:color w:val="2D74B5"/>
                            <w:spacing w:val="-3"/>
                            <w:u w:val="single" w:color="2D74B5"/>
                          </w:rPr>
                          <w:t>riskmanagement@omic.com</w:t>
                        </w:r>
                      </w:hyperlink>
                      <w:r>
                        <w:rPr>
                          <w:color w:val="2D74B5"/>
                          <w:spacing w:val="-3"/>
                        </w:rPr>
                        <w:t>.</w:t>
                      </w:r>
                    </w:p>
                    <w:p w:rsidR="00AD2B63" w:rsidRDefault="00AD2B63">
                      <w:pPr>
                        <w:pStyle w:val="BodyText"/>
                        <w:spacing w:line="242" w:lineRule="auto"/>
                        <w:ind w:left="108" w:firstLine="0"/>
                      </w:pPr>
                    </w:p>
                  </w:txbxContent>
                </v:textbox>
                <w10:wrap type="topAndBottom" anchorx="page"/>
              </v:shape>
            </w:pict>
          </mc:Fallback>
        </mc:AlternateContent>
      </w:r>
    </w:p>
    <w:sectPr w:rsidR="00FB18FD">
      <w:footerReference w:type="default" r:id="rId16"/>
      <w:pgSz w:w="12240" w:h="15840"/>
      <w:pgMar w:top="1360" w:right="0" w:bottom="1160" w:left="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162B" w14:textId="77777777" w:rsidR="00C322BE" w:rsidRDefault="00C322BE">
      <w:r>
        <w:separator/>
      </w:r>
    </w:p>
  </w:endnote>
  <w:endnote w:type="continuationSeparator" w:id="0">
    <w:p w14:paraId="4CEE81CE" w14:textId="77777777" w:rsidR="00C322BE" w:rsidRDefault="00C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39E7" w14:textId="77777777" w:rsidR="00FB18FD" w:rsidRDefault="00424610">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350E8619" wp14:editId="093B2A74">
              <wp:simplePos x="0" y="0"/>
              <wp:positionH relativeFrom="page">
                <wp:posOffset>3810635</wp:posOffset>
              </wp:positionH>
              <wp:positionV relativeFrom="page">
                <wp:posOffset>9304655</wp:posOffset>
              </wp:positionV>
              <wp:extent cx="152400" cy="1689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F419" w14:textId="77777777" w:rsidR="00FB18FD" w:rsidRDefault="00D26BC8">
                          <w:pPr>
                            <w:spacing w:before="19"/>
                            <w:ind w:left="60"/>
                            <w:rPr>
                              <w:rFonts w:ascii="Courier New"/>
                              <w:sz w:val="20"/>
                            </w:rPr>
                          </w:pPr>
                          <w:r>
                            <w:fldChar w:fldCharType="begin"/>
                          </w:r>
                          <w:r>
                            <w:rPr>
                              <w:rFonts w:ascii="Courier New"/>
                              <w:w w:val="99"/>
                              <w:sz w:val="20"/>
                            </w:rPr>
                            <w:instrText xml:space="preserve"> PAGE </w:instrText>
                          </w:r>
                          <w:r>
                            <w:fldChar w:fldCharType="separate"/>
                          </w:r>
                          <w:r w:rsidR="00762096">
                            <w:rPr>
                              <w:rFonts w:ascii="Courier New"/>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1586C" id="_x0000_t202" coordsize="21600,21600" o:spt="202" path="m,l,21600r21600,l21600,xe">
              <v:stroke joinstyle="miter"/>
              <v:path gradientshapeok="t" o:connecttype="rect"/>
            </v:shapetype>
            <v:shape id="Text Box 1" o:spid="_x0000_s1028" type="#_x0000_t202" style="position:absolute;margin-left:300.05pt;margin-top:732.65pt;width:12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" filled="f" stroked="f">
              <v:path arrowok="t"/>
              <v:textbox inset="0,0,0,0">
                <w:txbxContent>
                  <w:p w:rsidR="00FB18FD" w:rsidRDefault="00D26BC8">
                    <w:pPr>
                      <w:spacing w:before="19"/>
                      <w:ind w:left="60"/>
                      <w:rPr>
                        <w:rFonts w:ascii="Courier New"/>
                        <w:sz w:val="20"/>
                      </w:rPr>
                    </w:pPr>
                    <w:r>
                      <w:fldChar w:fldCharType="begin"/>
                    </w:r>
                    <w:r>
                      <w:rPr>
                        <w:rFonts w:ascii="Courier New"/>
                        <w:w w:val="99"/>
                        <w:sz w:val="20"/>
                      </w:rPr>
                      <w:instrText xml:space="preserve"> PAGE </w:instrText>
                    </w:r>
                    <w:r>
                      <w:fldChar w:fldCharType="separate"/>
                    </w:r>
                    <w:r w:rsidR="00762096">
                      <w:rPr>
                        <w:rFonts w:ascii="Courier New"/>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D3E9" w14:textId="77777777" w:rsidR="00C322BE" w:rsidRDefault="00C322BE">
      <w:r>
        <w:separator/>
      </w:r>
    </w:p>
  </w:footnote>
  <w:footnote w:type="continuationSeparator" w:id="0">
    <w:p w14:paraId="1CEA2DD0" w14:textId="77777777" w:rsidR="00C322BE" w:rsidRDefault="00C3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BF4"/>
    <w:multiLevelType w:val="hybridMultilevel"/>
    <w:tmpl w:val="509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15C8"/>
    <w:multiLevelType w:val="hybridMultilevel"/>
    <w:tmpl w:val="8F2AC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77795"/>
    <w:multiLevelType w:val="hybridMultilevel"/>
    <w:tmpl w:val="A41C6074"/>
    <w:lvl w:ilvl="0" w:tplc="EE7813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4637"/>
    <w:multiLevelType w:val="hybridMultilevel"/>
    <w:tmpl w:val="D05CF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954005"/>
    <w:multiLevelType w:val="hybridMultilevel"/>
    <w:tmpl w:val="E8FED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F1ABB"/>
    <w:multiLevelType w:val="hybridMultilevel"/>
    <w:tmpl w:val="7C7AF7F4"/>
    <w:lvl w:ilvl="0" w:tplc="EE7813AE">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499A"/>
    <w:multiLevelType w:val="hybridMultilevel"/>
    <w:tmpl w:val="DED63B30"/>
    <w:lvl w:ilvl="0" w:tplc="EE7813A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007E82"/>
    <w:multiLevelType w:val="hybridMultilevel"/>
    <w:tmpl w:val="2230F7AE"/>
    <w:lvl w:ilvl="0" w:tplc="9156162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A4E59"/>
    <w:multiLevelType w:val="hybridMultilevel"/>
    <w:tmpl w:val="F10C0032"/>
    <w:lvl w:ilvl="0" w:tplc="EFB44E22">
      <w:numFmt w:val="bullet"/>
      <w:lvlText w:val=""/>
      <w:lvlJc w:val="left"/>
      <w:pPr>
        <w:ind w:left="1800" w:hanging="360"/>
      </w:pPr>
      <w:rPr>
        <w:rFonts w:hint="default"/>
        <w:w w:val="100"/>
        <w:lang w:val="en-US" w:eastAsia="en-US" w:bidi="en-US"/>
      </w:rPr>
    </w:lvl>
    <w:lvl w:ilvl="1" w:tplc="C114B2D0">
      <w:numFmt w:val="bullet"/>
      <w:lvlText w:val="o"/>
      <w:lvlJc w:val="left"/>
      <w:pPr>
        <w:ind w:left="2520" w:hanging="360"/>
      </w:pPr>
      <w:rPr>
        <w:rFonts w:ascii="Courier New" w:eastAsia="Courier New" w:hAnsi="Courier New" w:cs="Courier New" w:hint="default"/>
        <w:w w:val="100"/>
        <w:sz w:val="24"/>
        <w:szCs w:val="24"/>
        <w:lang w:val="en-US" w:eastAsia="en-US" w:bidi="en-US"/>
      </w:rPr>
    </w:lvl>
    <w:lvl w:ilvl="2" w:tplc="506EFDCC">
      <w:numFmt w:val="bullet"/>
      <w:lvlText w:val="•"/>
      <w:lvlJc w:val="left"/>
      <w:pPr>
        <w:ind w:left="3600" w:hanging="360"/>
      </w:pPr>
      <w:rPr>
        <w:rFonts w:hint="default"/>
        <w:lang w:val="en-US" w:eastAsia="en-US" w:bidi="en-US"/>
      </w:rPr>
    </w:lvl>
    <w:lvl w:ilvl="3" w:tplc="15941992">
      <w:numFmt w:val="bullet"/>
      <w:lvlText w:val="•"/>
      <w:lvlJc w:val="left"/>
      <w:pPr>
        <w:ind w:left="4680" w:hanging="360"/>
      </w:pPr>
      <w:rPr>
        <w:rFonts w:hint="default"/>
        <w:lang w:val="en-US" w:eastAsia="en-US" w:bidi="en-US"/>
      </w:rPr>
    </w:lvl>
    <w:lvl w:ilvl="4" w:tplc="420C34A6">
      <w:numFmt w:val="bullet"/>
      <w:lvlText w:val="•"/>
      <w:lvlJc w:val="left"/>
      <w:pPr>
        <w:ind w:left="5760" w:hanging="360"/>
      </w:pPr>
      <w:rPr>
        <w:rFonts w:hint="default"/>
        <w:lang w:val="en-US" w:eastAsia="en-US" w:bidi="en-US"/>
      </w:rPr>
    </w:lvl>
    <w:lvl w:ilvl="5" w:tplc="3678282C">
      <w:numFmt w:val="bullet"/>
      <w:lvlText w:val="•"/>
      <w:lvlJc w:val="left"/>
      <w:pPr>
        <w:ind w:left="6840" w:hanging="360"/>
      </w:pPr>
      <w:rPr>
        <w:rFonts w:hint="default"/>
        <w:lang w:val="en-US" w:eastAsia="en-US" w:bidi="en-US"/>
      </w:rPr>
    </w:lvl>
    <w:lvl w:ilvl="6" w:tplc="A64AE0EA">
      <w:numFmt w:val="bullet"/>
      <w:lvlText w:val="•"/>
      <w:lvlJc w:val="left"/>
      <w:pPr>
        <w:ind w:left="7920" w:hanging="360"/>
      </w:pPr>
      <w:rPr>
        <w:rFonts w:hint="default"/>
        <w:lang w:val="en-US" w:eastAsia="en-US" w:bidi="en-US"/>
      </w:rPr>
    </w:lvl>
    <w:lvl w:ilvl="7" w:tplc="219CA4E2">
      <w:numFmt w:val="bullet"/>
      <w:lvlText w:val="•"/>
      <w:lvlJc w:val="left"/>
      <w:pPr>
        <w:ind w:left="9000" w:hanging="360"/>
      </w:pPr>
      <w:rPr>
        <w:rFonts w:hint="default"/>
        <w:lang w:val="en-US" w:eastAsia="en-US" w:bidi="en-US"/>
      </w:rPr>
    </w:lvl>
    <w:lvl w:ilvl="8" w:tplc="F4A2913E">
      <w:numFmt w:val="bullet"/>
      <w:lvlText w:val="•"/>
      <w:lvlJc w:val="left"/>
      <w:pPr>
        <w:ind w:left="10080" w:hanging="360"/>
      </w:pPr>
      <w:rPr>
        <w:rFonts w:hint="default"/>
        <w:lang w:val="en-US" w:eastAsia="en-US" w:bidi="en-US"/>
      </w:rPr>
    </w:lvl>
  </w:abstractNum>
  <w:abstractNum w:abstractNumId="9" w15:restartNumberingAfterBreak="0">
    <w:nsid w:val="2F5B78E6"/>
    <w:multiLevelType w:val="hybridMultilevel"/>
    <w:tmpl w:val="C226E250"/>
    <w:lvl w:ilvl="0" w:tplc="EE7813A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1422B2"/>
    <w:multiLevelType w:val="hybridMultilevel"/>
    <w:tmpl w:val="FEA0C46A"/>
    <w:lvl w:ilvl="0" w:tplc="E090739E">
      <w:start w:val="1"/>
      <w:numFmt w:val="decimal"/>
      <w:lvlText w:val="%1."/>
      <w:lvlJc w:val="left"/>
      <w:pPr>
        <w:ind w:left="2160" w:hanging="360"/>
      </w:pPr>
      <w:rPr>
        <w:rFonts w:hint="default"/>
        <w:color w:val="006FC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B55239"/>
    <w:multiLevelType w:val="hybridMultilevel"/>
    <w:tmpl w:val="4F001120"/>
    <w:lvl w:ilvl="0" w:tplc="EE7813AE">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AD491D"/>
    <w:multiLevelType w:val="hybridMultilevel"/>
    <w:tmpl w:val="AFB07660"/>
    <w:lvl w:ilvl="0" w:tplc="AF7CC92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E7863"/>
    <w:multiLevelType w:val="hybridMultilevel"/>
    <w:tmpl w:val="966884BE"/>
    <w:lvl w:ilvl="0" w:tplc="EE7813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070F9"/>
    <w:multiLevelType w:val="hybridMultilevel"/>
    <w:tmpl w:val="9C2CDE72"/>
    <w:lvl w:ilvl="0" w:tplc="EE7813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E3EEF"/>
    <w:multiLevelType w:val="hybridMultilevel"/>
    <w:tmpl w:val="39A28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861AD"/>
    <w:multiLevelType w:val="hybridMultilevel"/>
    <w:tmpl w:val="D3B6713E"/>
    <w:lvl w:ilvl="0" w:tplc="EE7813A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E35207"/>
    <w:multiLevelType w:val="hybridMultilevel"/>
    <w:tmpl w:val="5328B538"/>
    <w:lvl w:ilvl="0" w:tplc="EE7813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B64AC"/>
    <w:multiLevelType w:val="hybridMultilevel"/>
    <w:tmpl w:val="C34A6556"/>
    <w:lvl w:ilvl="0" w:tplc="EE7813A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A057FE"/>
    <w:multiLevelType w:val="hybridMultilevel"/>
    <w:tmpl w:val="E5DCD43E"/>
    <w:lvl w:ilvl="0" w:tplc="EE7813A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2D6E64"/>
    <w:multiLevelType w:val="hybridMultilevel"/>
    <w:tmpl w:val="6ADACFA2"/>
    <w:lvl w:ilvl="0" w:tplc="E656313E">
      <w:start w:val="1"/>
      <w:numFmt w:val="decimal"/>
      <w:lvlText w:val="%1."/>
      <w:lvlJc w:val="left"/>
      <w:pPr>
        <w:ind w:left="1800" w:hanging="360"/>
      </w:pPr>
      <w:rPr>
        <w:rFonts w:hint="default"/>
        <w:color w:val="006F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0974A0"/>
    <w:multiLevelType w:val="hybridMultilevel"/>
    <w:tmpl w:val="E5C07A90"/>
    <w:lvl w:ilvl="0" w:tplc="EE7813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705A9"/>
    <w:multiLevelType w:val="hybridMultilevel"/>
    <w:tmpl w:val="A1D0159E"/>
    <w:lvl w:ilvl="0" w:tplc="9156162E">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B44449"/>
    <w:multiLevelType w:val="hybridMultilevel"/>
    <w:tmpl w:val="F3106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AA7303"/>
    <w:multiLevelType w:val="hybridMultilevel"/>
    <w:tmpl w:val="0A222A24"/>
    <w:lvl w:ilvl="0" w:tplc="04090001">
      <w:start w:val="1"/>
      <w:numFmt w:val="bullet"/>
      <w:lvlText w:val=""/>
      <w:lvlJc w:val="left"/>
      <w:pPr>
        <w:ind w:left="1800" w:hanging="360"/>
      </w:pPr>
      <w:rPr>
        <w:rFonts w:ascii="Symbol" w:hAnsi="Symbol" w:hint="default"/>
        <w:w w:val="100"/>
        <w:lang w:val="en-US" w:eastAsia="en-US" w:bidi="en-US"/>
      </w:rPr>
    </w:lvl>
    <w:lvl w:ilvl="1" w:tplc="C114B2D0">
      <w:numFmt w:val="bullet"/>
      <w:lvlText w:val="o"/>
      <w:lvlJc w:val="left"/>
      <w:pPr>
        <w:ind w:left="2520" w:hanging="360"/>
      </w:pPr>
      <w:rPr>
        <w:rFonts w:ascii="Courier New" w:eastAsia="Courier New" w:hAnsi="Courier New" w:cs="Courier New" w:hint="default"/>
        <w:w w:val="100"/>
        <w:sz w:val="24"/>
        <w:szCs w:val="24"/>
        <w:lang w:val="en-US" w:eastAsia="en-US" w:bidi="en-US"/>
      </w:rPr>
    </w:lvl>
    <w:lvl w:ilvl="2" w:tplc="506EFDCC">
      <w:numFmt w:val="bullet"/>
      <w:lvlText w:val="•"/>
      <w:lvlJc w:val="left"/>
      <w:pPr>
        <w:ind w:left="3600" w:hanging="360"/>
      </w:pPr>
      <w:rPr>
        <w:rFonts w:hint="default"/>
        <w:lang w:val="en-US" w:eastAsia="en-US" w:bidi="en-US"/>
      </w:rPr>
    </w:lvl>
    <w:lvl w:ilvl="3" w:tplc="15941992">
      <w:numFmt w:val="bullet"/>
      <w:lvlText w:val="•"/>
      <w:lvlJc w:val="left"/>
      <w:pPr>
        <w:ind w:left="4680" w:hanging="360"/>
      </w:pPr>
      <w:rPr>
        <w:rFonts w:hint="default"/>
        <w:lang w:val="en-US" w:eastAsia="en-US" w:bidi="en-US"/>
      </w:rPr>
    </w:lvl>
    <w:lvl w:ilvl="4" w:tplc="420C34A6">
      <w:numFmt w:val="bullet"/>
      <w:lvlText w:val="•"/>
      <w:lvlJc w:val="left"/>
      <w:pPr>
        <w:ind w:left="5760" w:hanging="360"/>
      </w:pPr>
      <w:rPr>
        <w:rFonts w:hint="default"/>
        <w:lang w:val="en-US" w:eastAsia="en-US" w:bidi="en-US"/>
      </w:rPr>
    </w:lvl>
    <w:lvl w:ilvl="5" w:tplc="3678282C">
      <w:numFmt w:val="bullet"/>
      <w:lvlText w:val="•"/>
      <w:lvlJc w:val="left"/>
      <w:pPr>
        <w:ind w:left="6840" w:hanging="360"/>
      </w:pPr>
      <w:rPr>
        <w:rFonts w:hint="default"/>
        <w:lang w:val="en-US" w:eastAsia="en-US" w:bidi="en-US"/>
      </w:rPr>
    </w:lvl>
    <w:lvl w:ilvl="6" w:tplc="A64AE0EA">
      <w:numFmt w:val="bullet"/>
      <w:lvlText w:val="•"/>
      <w:lvlJc w:val="left"/>
      <w:pPr>
        <w:ind w:left="7920" w:hanging="360"/>
      </w:pPr>
      <w:rPr>
        <w:rFonts w:hint="default"/>
        <w:lang w:val="en-US" w:eastAsia="en-US" w:bidi="en-US"/>
      </w:rPr>
    </w:lvl>
    <w:lvl w:ilvl="7" w:tplc="219CA4E2">
      <w:numFmt w:val="bullet"/>
      <w:lvlText w:val="•"/>
      <w:lvlJc w:val="left"/>
      <w:pPr>
        <w:ind w:left="9000" w:hanging="360"/>
      </w:pPr>
      <w:rPr>
        <w:rFonts w:hint="default"/>
        <w:lang w:val="en-US" w:eastAsia="en-US" w:bidi="en-US"/>
      </w:rPr>
    </w:lvl>
    <w:lvl w:ilvl="8" w:tplc="F4A2913E">
      <w:numFmt w:val="bullet"/>
      <w:lvlText w:val="•"/>
      <w:lvlJc w:val="left"/>
      <w:pPr>
        <w:ind w:left="10080" w:hanging="360"/>
      </w:pPr>
      <w:rPr>
        <w:rFonts w:hint="default"/>
        <w:lang w:val="en-US" w:eastAsia="en-US" w:bidi="en-US"/>
      </w:rPr>
    </w:lvl>
  </w:abstractNum>
  <w:abstractNum w:abstractNumId="25" w15:restartNumberingAfterBreak="0">
    <w:nsid w:val="7575579D"/>
    <w:multiLevelType w:val="hybridMultilevel"/>
    <w:tmpl w:val="68F87994"/>
    <w:lvl w:ilvl="0" w:tplc="255A3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7E7B05"/>
    <w:multiLevelType w:val="hybridMultilevel"/>
    <w:tmpl w:val="68B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860"/>
    <w:multiLevelType w:val="hybridMultilevel"/>
    <w:tmpl w:val="106C656C"/>
    <w:lvl w:ilvl="0" w:tplc="EE7813AE">
      <w:numFmt w:val="bullet"/>
      <w:lvlText w:val="•"/>
      <w:lvlJc w:val="left"/>
      <w:pPr>
        <w:ind w:left="3600" w:hanging="72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5"/>
  </w:num>
  <w:num w:numId="3">
    <w:abstractNumId w:val="1"/>
  </w:num>
  <w:num w:numId="4">
    <w:abstractNumId w:val="11"/>
  </w:num>
  <w:num w:numId="5">
    <w:abstractNumId w:val="27"/>
  </w:num>
  <w:num w:numId="6">
    <w:abstractNumId w:val="5"/>
  </w:num>
  <w:num w:numId="7">
    <w:abstractNumId w:val="7"/>
  </w:num>
  <w:num w:numId="8">
    <w:abstractNumId w:val="22"/>
  </w:num>
  <w:num w:numId="9">
    <w:abstractNumId w:val="15"/>
  </w:num>
  <w:num w:numId="10">
    <w:abstractNumId w:val="23"/>
  </w:num>
  <w:num w:numId="11">
    <w:abstractNumId w:val="26"/>
  </w:num>
  <w:num w:numId="12">
    <w:abstractNumId w:val="12"/>
  </w:num>
  <w:num w:numId="13">
    <w:abstractNumId w:val="6"/>
  </w:num>
  <w:num w:numId="14">
    <w:abstractNumId w:val="13"/>
  </w:num>
  <w:num w:numId="15">
    <w:abstractNumId w:val="18"/>
  </w:num>
  <w:num w:numId="16">
    <w:abstractNumId w:val="17"/>
  </w:num>
  <w:num w:numId="17">
    <w:abstractNumId w:val="9"/>
  </w:num>
  <w:num w:numId="18">
    <w:abstractNumId w:val="16"/>
  </w:num>
  <w:num w:numId="19">
    <w:abstractNumId w:val="19"/>
  </w:num>
  <w:num w:numId="20">
    <w:abstractNumId w:val="2"/>
  </w:num>
  <w:num w:numId="21">
    <w:abstractNumId w:val="4"/>
  </w:num>
  <w:num w:numId="22">
    <w:abstractNumId w:val="14"/>
  </w:num>
  <w:num w:numId="23">
    <w:abstractNumId w:val="21"/>
  </w:num>
  <w:num w:numId="24">
    <w:abstractNumId w:val="10"/>
  </w:num>
  <w:num w:numId="25">
    <w:abstractNumId w:val="20"/>
  </w:num>
  <w:num w:numId="26">
    <w:abstractNumId w:val="24"/>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FD"/>
    <w:rsid w:val="00025906"/>
    <w:rsid w:val="00031C37"/>
    <w:rsid w:val="000354CB"/>
    <w:rsid w:val="000362B8"/>
    <w:rsid w:val="0003748A"/>
    <w:rsid w:val="00047D9F"/>
    <w:rsid w:val="00057B6C"/>
    <w:rsid w:val="00067EEE"/>
    <w:rsid w:val="0009190A"/>
    <w:rsid w:val="000A795F"/>
    <w:rsid w:val="000B4F1D"/>
    <w:rsid w:val="000E295D"/>
    <w:rsid w:val="00106CB7"/>
    <w:rsid w:val="0011134B"/>
    <w:rsid w:val="001D1823"/>
    <w:rsid w:val="001F5FD7"/>
    <w:rsid w:val="0026775F"/>
    <w:rsid w:val="00282E5A"/>
    <w:rsid w:val="00284A80"/>
    <w:rsid w:val="00295F4A"/>
    <w:rsid w:val="002A554C"/>
    <w:rsid w:val="002B2C03"/>
    <w:rsid w:val="002B77FF"/>
    <w:rsid w:val="002D657E"/>
    <w:rsid w:val="00314C8A"/>
    <w:rsid w:val="00327697"/>
    <w:rsid w:val="003327FC"/>
    <w:rsid w:val="00382854"/>
    <w:rsid w:val="00424610"/>
    <w:rsid w:val="0043566B"/>
    <w:rsid w:val="00450484"/>
    <w:rsid w:val="00452581"/>
    <w:rsid w:val="0045552E"/>
    <w:rsid w:val="0046098F"/>
    <w:rsid w:val="00486DDD"/>
    <w:rsid w:val="004876B3"/>
    <w:rsid w:val="0049477A"/>
    <w:rsid w:val="00496E7F"/>
    <w:rsid w:val="004D3D55"/>
    <w:rsid w:val="004E7CAF"/>
    <w:rsid w:val="00512A83"/>
    <w:rsid w:val="00545A30"/>
    <w:rsid w:val="0055111C"/>
    <w:rsid w:val="00587075"/>
    <w:rsid w:val="005B5C0B"/>
    <w:rsid w:val="005C7D69"/>
    <w:rsid w:val="005D217A"/>
    <w:rsid w:val="005F5328"/>
    <w:rsid w:val="0062653C"/>
    <w:rsid w:val="006F68BE"/>
    <w:rsid w:val="006F7851"/>
    <w:rsid w:val="00700FC6"/>
    <w:rsid w:val="00701EB3"/>
    <w:rsid w:val="0072214C"/>
    <w:rsid w:val="007279B6"/>
    <w:rsid w:val="00762096"/>
    <w:rsid w:val="00773DB6"/>
    <w:rsid w:val="00781A9E"/>
    <w:rsid w:val="007A1D3D"/>
    <w:rsid w:val="007B3B4E"/>
    <w:rsid w:val="007B5E8D"/>
    <w:rsid w:val="007C0284"/>
    <w:rsid w:val="007D07BE"/>
    <w:rsid w:val="008162E2"/>
    <w:rsid w:val="0084074F"/>
    <w:rsid w:val="00867481"/>
    <w:rsid w:val="00882995"/>
    <w:rsid w:val="00895C1A"/>
    <w:rsid w:val="008C487D"/>
    <w:rsid w:val="008D6CC3"/>
    <w:rsid w:val="00913F3A"/>
    <w:rsid w:val="009478D8"/>
    <w:rsid w:val="009800A9"/>
    <w:rsid w:val="009B3F27"/>
    <w:rsid w:val="009D091E"/>
    <w:rsid w:val="009D1D55"/>
    <w:rsid w:val="009E7626"/>
    <w:rsid w:val="00A0547B"/>
    <w:rsid w:val="00A0596E"/>
    <w:rsid w:val="00A31B89"/>
    <w:rsid w:val="00A36C4B"/>
    <w:rsid w:val="00A57C87"/>
    <w:rsid w:val="00AB0532"/>
    <w:rsid w:val="00AD2B63"/>
    <w:rsid w:val="00B05C53"/>
    <w:rsid w:val="00B06CA6"/>
    <w:rsid w:val="00B202F9"/>
    <w:rsid w:val="00B236FD"/>
    <w:rsid w:val="00B5176F"/>
    <w:rsid w:val="00B95655"/>
    <w:rsid w:val="00C21E8C"/>
    <w:rsid w:val="00C322BE"/>
    <w:rsid w:val="00C532BE"/>
    <w:rsid w:val="00C9291B"/>
    <w:rsid w:val="00CC5914"/>
    <w:rsid w:val="00CE0AA1"/>
    <w:rsid w:val="00D26BC8"/>
    <w:rsid w:val="00D526D5"/>
    <w:rsid w:val="00D6091F"/>
    <w:rsid w:val="00D873B9"/>
    <w:rsid w:val="00D87835"/>
    <w:rsid w:val="00E23010"/>
    <w:rsid w:val="00E26748"/>
    <w:rsid w:val="00E3708D"/>
    <w:rsid w:val="00E418DE"/>
    <w:rsid w:val="00E44515"/>
    <w:rsid w:val="00E64A84"/>
    <w:rsid w:val="00E71D33"/>
    <w:rsid w:val="00E94997"/>
    <w:rsid w:val="00EB271B"/>
    <w:rsid w:val="00ED3315"/>
    <w:rsid w:val="00EF75B9"/>
    <w:rsid w:val="00F440A8"/>
    <w:rsid w:val="00F9061C"/>
    <w:rsid w:val="00F94120"/>
    <w:rsid w:val="00F95FF3"/>
    <w:rsid w:val="00FB18FD"/>
    <w:rsid w:val="00FC512D"/>
    <w:rsid w:val="00FF293D"/>
    <w:rsid w:val="00FF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B241"/>
  <w15:docId w15:val="{8FF1F2BE-E17F-EB4F-8EA7-58033EA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40"/>
      <w:outlineLvl w:val="0"/>
    </w:pPr>
    <w:rPr>
      <w:b/>
      <w:bCs/>
      <w:sz w:val="28"/>
      <w:szCs w:val="28"/>
    </w:rPr>
  </w:style>
  <w:style w:type="paragraph" w:styleId="Heading2">
    <w:name w:val="heading 2"/>
    <w:basedOn w:val="Normal"/>
    <w:uiPriority w:val="9"/>
    <w:unhideWhenUsed/>
    <w:qFormat/>
    <w:pPr>
      <w:ind w:left="1510" w:right="151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hanging="360"/>
    </w:pPr>
    <w:rPr>
      <w:sz w:val="24"/>
      <w:szCs w:val="24"/>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 w:type="paragraph" w:styleId="NoSpacing">
    <w:name w:val="No Spacing"/>
    <w:uiPriority w:val="1"/>
    <w:qFormat/>
    <w:rsid w:val="00B202F9"/>
    <w:rPr>
      <w:rFonts w:ascii="Calibri" w:eastAsia="Calibri" w:hAnsi="Calibri" w:cs="Calibri"/>
      <w:lang w:bidi="en-US"/>
    </w:rPr>
  </w:style>
  <w:style w:type="paragraph" w:styleId="FootnoteText">
    <w:name w:val="footnote text"/>
    <w:basedOn w:val="Normal"/>
    <w:link w:val="FootnoteTextChar"/>
    <w:uiPriority w:val="99"/>
    <w:semiHidden/>
    <w:unhideWhenUsed/>
    <w:rsid w:val="00F440A8"/>
    <w:rPr>
      <w:sz w:val="20"/>
      <w:szCs w:val="20"/>
    </w:rPr>
  </w:style>
  <w:style w:type="character" w:customStyle="1" w:styleId="FootnoteTextChar">
    <w:name w:val="Footnote Text Char"/>
    <w:basedOn w:val="DefaultParagraphFont"/>
    <w:link w:val="FootnoteText"/>
    <w:uiPriority w:val="99"/>
    <w:semiHidden/>
    <w:rsid w:val="00F440A8"/>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440A8"/>
    <w:rPr>
      <w:vertAlign w:val="superscript"/>
    </w:rPr>
  </w:style>
  <w:style w:type="character" w:styleId="Hyperlink">
    <w:name w:val="Hyperlink"/>
    <w:basedOn w:val="DefaultParagraphFont"/>
    <w:uiPriority w:val="99"/>
    <w:unhideWhenUsed/>
    <w:rsid w:val="00486DDD"/>
    <w:rPr>
      <w:color w:val="0000FF" w:themeColor="hyperlink"/>
      <w:u w:val="single"/>
    </w:rPr>
  </w:style>
  <w:style w:type="character" w:customStyle="1" w:styleId="UnresolvedMention1">
    <w:name w:val="Unresolved Mention1"/>
    <w:basedOn w:val="DefaultParagraphFont"/>
    <w:uiPriority w:val="99"/>
    <w:semiHidden/>
    <w:unhideWhenUsed/>
    <w:rsid w:val="00486DDD"/>
    <w:rPr>
      <w:color w:val="605E5C"/>
      <w:shd w:val="clear" w:color="auto" w:fill="E1DFDD"/>
    </w:rPr>
  </w:style>
  <w:style w:type="character" w:styleId="CommentReference">
    <w:name w:val="annotation reference"/>
    <w:basedOn w:val="DefaultParagraphFont"/>
    <w:uiPriority w:val="99"/>
    <w:semiHidden/>
    <w:unhideWhenUsed/>
    <w:rsid w:val="00C21E8C"/>
    <w:rPr>
      <w:sz w:val="16"/>
      <w:szCs w:val="16"/>
    </w:rPr>
  </w:style>
  <w:style w:type="paragraph" w:styleId="CommentText">
    <w:name w:val="annotation text"/>
    <w:basedOn w:val="Normal"/>
    <w:link w:val="CommentTextChar"/>
    <w:uiPriority w:val="99"/>
    <w:semiHidden/>
    <w:unhideWhenUsed/>
    <w:rsid w:val="00C21E8C"/>
    <w:rPr>
      <w:sz w:val="20"/>
      <w:szCs w:val="20"/>
    </w:rPr>
  </w:style>
  <w:style w:type="character" w:customStyle="1" w:styleId="CommentTextChar">
    <w:name w:val="Comment Text Char"/>
    <w:basedOn w:val="DefaultParagraphFont"/>
    <w:link w:val="CommentText"/>
    <w:uiPriority w:val="99"/>
    <w:semiHidden/>
    <w:rsid w:val="00C21E8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21E8C"/>
    <w:rPr>
      <w:b/>
      <w:bCs/>
    </w:rPr>
  </w:style>
  <w:style w:type="character" w:customStyle="1" w:styleId="CommentSubjectChar">
    <w:name w:val="Comment Subject Char"/>
    <w:basedOn w:val="CommentTextChar"/>
    <w:link w:val="CommentSubject"/>
    <w:uiPriority w:val="99"/>
    <w:semiHidden/>
    <w:rsid w:val="00C21E8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C21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8C"/>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031C37"/>
    <w:rPr>
      <w:color w:val="800080" w:themeColor="followedHyperlink"/>
      <w:u w:val="single"/>
    </w:rPr>
  </w:style>
  <w:style w:type="paragraph" w:styleId="Revision">
    <w:name w:val="Revision"/>
    <w:hidden/>
    <w:uiPriority w:val="99"/>
    <w:semiHidden/>
    <w:rsid w:val="00282E5A"/>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mic.com/comanagement-of-surgical-patients/" TargetMode="External"/><Relationship Id="rId13" Type="http://schemas.openxmlformats.org/officeDocument/2006/relationships/hyperlink" Target="https://www.omic.com/informed-consent-for-off-label-use-of-a-drug-or-de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mic.com/informed-consent-for-off-label-use-of-a-drug-or-dev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ic.com/refractive-lens-exchange" TargetMode="External"/><Relationship Id="rId5" Type="http://schemas.openxmlformats.org/officeDocument/2006/relationships/footnotes" Target="footnotes.xml"/><Relationship Id="rId15" Type="http://schemas.openxmlformats.org/officeDocument/2006/relationships/hyperlink" Target="mailto:riskmanagement@omic.com" TargetMode="External"/><Relationship Id="rId10" Type="http://schemas.openxmlformats.org/officeDocument/2006/relationships/hyperlink" Target="https://www.omic.com/bilateral-phakic-implant-consent-addendum/" TargetMode="External"/><Relationship Id="rId4" Type="http://schemas.openxmlformats.org/officeDocument/2006/relationships/webSettings" Target="webSettings.xml"/><Relationship Id="rId9" Type="http://schemas.openxmlformats.org/officeDocument/2006/relationships/hyperlink" Target="https://www.omic.com/verisyse-phakic-implant-consent/" TargetMode="External"/><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Michelle Pineda</cp:lastModifiedBy>
  <cp:revision>3</cp:revision>
  <dcterms:created xsi:type="dcterms:W3CDTF">2022-10-11T00:20:00Z</dcterms:created>
  <dcterms:modified xsi:type="dcterms:W3CDTF">2022-10-11T00:28:00Z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2022-04-05T00:00:00Z</vt:filetime>
  </property>
</Properties>
</file>