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866FA" w14:textId="77777777" w:rsidR="00DE7E61" w:rsidRPr="008372E8" w:rsidRDefault="00DE7E61" w:rsidP="00DE7E61">
      <w:pPr>
        <w:rPr>
          <w:rFonts w:asciiTheme="minorHAnsi" w:hAnsiTheme="minorHAnsi" w:cs="Arial"/>
          <w:b/>
          <w:sz w:val="36"/>
          <w:szCs w:val="36"/>
        </w:rPr>
      </w:pPr>
      <w:r w:rsidRPr="008372E8">
        <w:rPr>
          <w:rFonts w:asciiTheme="minorHAnsi" w:hAnsiTheme="minorHAnsi" w:cs="Arial"/>
          <w:b/>
          <w:noProof/>
          <w:spacing w:val="-2"/>
          <w:szCs w:val="24"/>
        </w:rPr>
        <w:drawing>
          <wp:anchor distT="0" distB="0" distL="114300" distR="114300" simplePos="0" relativeHeight="251659264" behindDoc="0" locked="0" layoutInCell="1" allowOverlap="1" wp14:anchorId="7933986E" wp14:editId="4B6BBB81">
            <wp:simplePos x="0" y="0"/>
            <wp:positionH relativeFrom="page">
              <wp:align>left</wp:align>
            </wp:positionH>
            <wp:positionV relativeFrom="paragraph">
              <wp:posOffset>493</wp:posOffset>
            </wp:positionV>
            <wp:extent cx="8796655" cy="895985"/>
            <wp:effectExtent l="0" t="0" r="4445" b="0"/>
            <wp:wrapSquare wrapText="bothSides"/>
            <wp:docPr id="19" name="Picture 19" descr="C:\Users\rwidi\Desktop\RMR 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rwidi\Desktop\RMR Bann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96655"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738339" w14:textId="77777777" w:rsidR="00DD0CA3" w:rsidRDefault="00DD0CA3" w:rsidP="003A12AB">
      <w:pPr>
        <w:jc w:val="center"/>
        <w:rPr>
          <w:rFonts w:asciiTheme="minorHAnsi" w:hAnsiTheme="minorHAnsi" w:cs="Arial"/>
          <w:b/>
          <w:sz w:val="36"/>
          <w:szCs w:val="36"/>
        </w:rPr>
      </w:pPr>
      <w:r>
        <w:rPr>
          <w:rFonts w:asciiTheme="minorHAnsi" w:hAnsiTheme="minorHAnsi" w:cs="Arial"/>
          <w:b/>
          <w:sz w:val="36"/>
          <w:szCs w:val="36"/>
        </w:rPr>
        <w:t xml:space="preserve">Intraocular </w:t>
      </w:r>
      <w:r w:rsidR="00DE7E61" w:rsidRPr="008372E8">
        <w:rPr>
          <w:rFonts w:asciiTheme="minorHAnsi" w:hAnsiTheme="minorHAnsi" w:cs="Arial"/>
          <w:b/>
          <w:sz w:val="36"/>
          <w:szCs w:val="36"/>
        </w:rPr>
        <w:t xml:space="preserve">Triamcinolone Acetonide </w:t>
      </w:r>
    </w:p>
    <w:p w14:paraId="307E0C08" w14:textId="77777777" w:rsidR="00DE7E61" w:rsidRPr="008372E8" w:rsidRDefault="00DE7E61" w:rsidP="003A12AB">
      <w:pPr>
        <w:jc w:val="center"/>
        <w:rPr>
          <w:rFonts w:asciiTheme="minorHAnsi" w:hAnsiTheme="minorHAnsi" w:cs="Arial"/>
          <w:b/>
          <w:sz w:val="36"/>
          <w:szCs w:val="36"/>
        </w:rPr>
      </w:pPr>
      <w:r w:rsidRPr="008372E8">
        <w:rPr>
          <w:rFonts w:asciiTheme="minorHAnsi" w:hAnsiTheme="minorHAnsi" w:cs="Arial"/>
          <w:b/>
          <w:sz w:val="36"/>
          <w:szCs w:val="36"/>
        </w:rPr>
        <w:t>(Kenalog</w:t>
      </w:r>
      <w:r w:rsidRPr="008372E8">
        <w:rPr>
          <w:rFonts w:asciiTheme="minorHAnsi" w:hAnsiTheme="minorHAnsi" w:cs="Arial"/>
          <w:b/>
          <w:sz w:val="36"/>
          <w:szCs w:val="36"/>
          <w:vertAlign w:val="superscript"/>
        </w:rPr>
        <w:t xml:space="preserve">TM </w:t>
      </w:r>
      <w:r w:rsidRPr="008372E8">
        <w:rPr>
          <w:rFonts w:asciiTheme="minorHAnsi" w:hAnsiTheme="minorHAnsi" w:cs="Arial"/>
          <w:b/>
          <w:sz w:val="36"/>
          <w:szCs w:val="36"/>
        </w:rPr>
        <w:t>or Triesence</w:t>
      </w:r>
      <w:r w:rsidRPr="008372E8">
        <w:rPr>
          <w:rFonts w:asciiTheme="minorHAnsi" w:hAnsiTheme="minorHAnsi" w:cs="Arial"/>
          <w:b/>
          <w:sz w:val="36"/>
          <w:szCs w:val="36"/>
          <w:vertAlign w:val="superscript"/>
        </w:rPr>
        <w:t>TM</w:t>
      </w:r>
      <w:r w:rsidR="00DD0CA3">
        <w:rPr>
          <w:rFonts w:asciiTheme="minorHAnsi" w:hAnsiTheme="minorHAnsi" w:cs="Arial"/>
          <w:b/>
          <w:sz w:val="36"/>
          <w:szCs w:val="36"/>
        </w:rPr>
        <w:t>)</w:t>
      </w:r>
    </w:p>
    <w:p w14:paraId="6EA05F27" w14:textId="77777777" w:rsidR="00DE7E61" w:rsidRPr="008372E8" w:rsidRDefault="00DE7E61" w:rsidP="00DE7E61">
      <w:pPr>
        <w:rPr>
          <w:rFonts w:asciiTheme="minorHAnsi" w:hAnsiTheme="minorHAnsi" w:cs="Arial"/>
          <w:b/>
          <w:color w:val="333333"/>
        </w:rPr>
      </w:pPr>
    </w:p>
    <w:p w14:paraId="196F499D" w14:textId="77777777" w:rsidR="00DE7E61" w:rsidRPr="008372E8" w:rsidRDefault="00DE7E61" w:rsidP="00DE7E61">
      <w:pPr>
        <w:jc w:val="center"/>
        <w:rPr>
          <w:rFonts w:asciiTheme="minorHAnsi" w:hAnsiTheme="minorHAnsi" w:cs="Arial"/>
          <w:b/>
          <w:szCs w:val="24"/>
        </w:rPr>
      </w:pPr>
      <w:r w:rsidRPr="008372E8">
        <w:rPr>
          <w:rFonts w:asciiTheme="minorHAnsi" w:hAnsiTheme="minorHAnsi" w:cs="Arial"/>
          <w:b/>
          <w:szCs w:val="24"/>
        </w:rPr>
        <w:t>Anne M. Menke, RN, PhD</w:t>
      </w:r>
    </w:p>
    <w:p w14:paraId="5D67DBFB" w14:textId="77777777" w:rsidR="00DE7E61" w:rsidRPr="008372E8" w:rsidRDefault="00DE7E61" w:rsidP="00DE7E61">
      <w:pPr>
        <w:jc w:val="center"/>
        <w:rPr>
          <w:rFonts w:asciiTheme="minorHAnsi" w:hAnsiTheme="minorHAnsi" w:cs="Arial"/>
          <w:b/>
          <w:szCs w:val="24"/>
        </w:rPr>
      </w:pPr>
      <w:r w:rsidRPr="008372E8">
        <w:rPr>
          <w:rFonts w:asciiTheme="minorHAnsi" w:hAnsiTheme="minorHAnsi" w:cs="Arial"/>
          <w:b/>
          <w:szCs w:val="24"/>
        </w:rPr>
        <w:t xml:space="preserve">Reviewed by </w:t>
      </w:r>
      <w:r w:rsidR="00DD0CA3">
        <w:rPr>
          <w:rFonts w:asciiTheme="minorHAnsi" w:hAnsiTheme="minorHAnsi" w:cs="Arial"/>
          <w:b/>
          <w:szCs w:val="24"/>
        </w:rPr>
        <w:t>Gaurav Shah, MD</w:t>
      </w:r>
    </w:p>
    <w:p w14:paraId="746F251D" w14:textId="77777777" w:rsidR="008372E8" w:rsidRPr="008372E8" w:rsidRDefault="008372E8" w:rsidP="00DE7E61">
      <w:pPr>
        <w:jc w:val="center"/>
        <w:rPr>
          <w:rFonts w:asciiTheme="minorHAnsi" w:hAnsiTheme="minorHAnsi" w:cs="Arial"/>
          <w:b/>
          <w:szCs w:val="24"/>
        </w:rPr>
      </w:pPr>
    </w:p>
    <w:p w14:paraId="66EFD02E" w14:textId="77777777" w:rsidR="008372E8" w:rsidRPr="008372E8" w:rsidRDefault="008372E8" w:rsidP="008372E8">
      <w:pPr>
        <w:pStyle w:val="BodyText"/>
        <w:pBdr>
          <w:top w:val="single" w:sz="4" w:space="1" w:color="auto"/>
          <w:left w:val="single" w:sz="4" w:space="4" w:color="auto"/>
          <w:bottom w:val="single" w:sz="4" w:space="1" w:color="auto"/>
          <w:right w:val="single" w:sz="4" w:space="4" w:color="auto"/>
        </w:pBdr>
        <w:shd w:val="clear" w:color="auto" w:fill="E6E6E6"/>
        <w:spacing w:before="60" w:line="200" w:lineRule="atLeast"/>
        <w:rPr>
          <w:rFonts w:asciiTheme="minorHAnsi" w:hAnsiTheme="minorHAnsi" w:cs="Arial"/>
          <w:b/>
          <w:color w:val="333333"/>
          <w:sz w:val="20"/>
        </w:rPr>
      </w:pPr>
      <w:r w:rsidRPr="008372E8">
        <w:rPr>
          <w:rFonts w:asciiTheme="minorHAnsi" w:hAnsiTheme="minorHAnsi" w:cs="Arial"/>
          <w:b/>
          <w:color w:val="333333"/>
          <w:sz w:val="20"/>
        </w:rPr>
        <w:t xml:space="preserve">PURPOSE OF RISK MANAGEMENT RECOMMENDATIONS </w:t>
      </w:r>
    </w:p>
    <w:p w14:paraId="19125E4A" w14:textId="77777777" w:rsidR="008372E8" w:rsidRPr="008372E8" w:rsidRDefault="008372E8" w:rsidP="008372E8">
      <w:pPr>
        <w:pStyle w:val="BodyText"/>
        <w:pBdr>
          <w:top w:val="single" w:sz="4" w:space="1" w:color="auto"/>
          <w:left w:val="single" w:sz="4" w:space="4" w:color="auto"/>
          <w:bottom w:val="single" w:sz="4" w:space="1" w:color="auto"/>
          <w:right w:val="single" w:sz="4" w:space="4" w:color="auto"/>
        </w:pBdr>
        <w:shd w:val="clear" w:color="auto" w:fill="E6E6E6"/>
        <w:spacing w:before="60" w:line="200" w:lineRule="atLeast"/>
        <w:rPr>
          <w:rFonts w:asciiTheme="minorHAnsi" w:hAnsiTheme="minorHAnsi" w:cs="Arial"/>
          <w:noProof/>
          <w:color w:val="333333"/>
          <w:sz w:val="20"/>
        </w:rPr>
      </w:pPr>
      <w:smartTag w:uri="urn:schemas-microsoft-com:office:smarttags" w:element="PersonName">
        <w:r w:rsidRPr="008372E8">
          <w:rPr>
            <w:rFonts w:asciiTheme="minorHAnsi" w:hAnsiTheme="minorHAnsi" w:cs="Arial"/>
            <w:color w:val="333333"/>
            <w:sz w:val="20"/>
          </w:rPr>
          <w:t>OMIC</w:t>
        </w:r>
      </w:smartTag>
      <w:r w:rsidRPr="008372E8">
        <w:rPr>
          <w:rFonts w:asciiTheme="minorHAnsi" w:hAnsiTheme="minorHAnsi" w:cs="Arial"/>
          <w:color w:val="333333"/>
          <w:sz w:val="20"/>
        </w:rPr>
        <w:t xml:space="preserve"> regularly analyzes its claims experience to determine loss prevention measures that our insured ophthalmologists can take to reduce the likelihood of professional liability lawsuits. </w:t>
      </w:r>
      <w:smartTag w:uri="urn:schemas-microsoft-com:office:smarttags" w:element="PersonName">
        <w:r w:rsidRPr="008372E8">
          <w:rPr>
            <w:rFonts w:asciiTheme="minorHAnsi" w:hAnsiTheme="minorHAnsi" w:cs="Arial"/>
            <w:color w:val="333333"/>
            <w:sz w:val="20"/>
          </w:rPr>
          <w:t>OMIC</w:t>
        </w:r>
      </w:smartTag>
      <w:r w:rsidRPr="008372E8">
        <w:rPr>
          <w:rFonts w:asciiTheme="minorHAnsi" w:hAnsiTheme="minorHAnsi" w:cs="Arial"/>
          <w:color w:val="333333"/>
          <w:sz w:val="20"/>
        </w:rPr>
        <w:t xml:space="preserve"> policyholders are not required to implement these risk management recommendations. Rather, physicians should use their professional judgment in determining the applicability of a given </w:t>
      </w:r>
      <w:r w:rsidRPr="008372E8">
        <w:rPr>
          <w:rFonts w:asciiTheme="minorHAnsi" w:hAnsiTheme="minorHAnsi" w:cs="Arial"/>
          <w:noProof/>
          <w:color w:val="333333"/>
          <w:sz w:val="20"/>
        </w:rPr>
        <w:t xml:space="preserve">recommendation to their particular patients and practice situation. These loss prevention documents may refer to clinical care guidelines such as the American Academy of Ophthalmology’s Preferred Practice Patterns, peer-reviewed articles, or to federal or state laws and regulations. However, our risk management recommendations do not constitute the standard of care nor do they provide legal advice. Consult an attorney if legal advice is desired or needed. Information contained here is not intended to be a modification of the terms and conditions of the </w:t>
      </w:r>
      <w:smartTag w:uri="urn:schemas-microsoft-com:office:smarttags" w:element="PersonName">
        <w:r w:rsidRPr="008372E8">
          <w:rPr>
            <w:rFonts w:asciiTheme="minorHAnsi" w:hAnsiTheme="minorHAnsi" w:cs="Arial"/>
            <w:noProof/>
            <w:color w:val="333333"/>
            <w:sz w:val="20"/>
          </w:rPr>
          <w:t>OMIC</w:t>
        </w:r>
      </w:smartTag>
      <w:r w:rsidRPr="008372E8">
        <w:rPr>
          <w:rFonts w:asciiTheme="minorHAnsi" w:hAnsiTheme="minorHAnsi" w:cs="Arial"/>
          <w:noProof/>
          <w:color w:val="333333"/>
          <w:sz w:val="20"/>
        </w:rPr>
        <w:t xml:space="preserve"> professional and limited office premises liability insurance policy. Please refer to the OMIC policy for these terms and conditions.</w:t>
      </w:r>
    </w:p>
    <w:p w14:paraId="70B7EDBC" w14:textId="1E93EEE3" w:rsidR="00DE7E61" w:rsidRPr="008372E8" w:rsidRDefault="00695D90" w:rsidP="00DE7E61">
      <w:pPr>
        <w:pStyle w:val="BodyText"/>
        <w:pBdr>
          <w:top w:val="single" w:sz="4" w:space="1" w:color="auto"/>
          <w:left w:val="single" w:sz="4" w:space="4" w:color="auto"/>
          <w:bottom w:val="single" w:sz="4" w:space="1" w:color="auto"/>
          <w:right w:val="single" w:sz="4" w:space="4" w:color="auto"/>
        </w:pBdr>
        <w:shd w:val="clear" w:color="auto" w:fill="E6E6E6"/>
        <w:spacing w:before="60" w:line="200" w:lineRule="atLeast"/>
        <w:rPr>
          <w:rFonts w:asciiTheme="minorHAnsi" w:hAnsiTheme="minorHAnsi" w:cs="Arial"/>
          <w:b/>
          <w:noProof/>
          <w:sz w:val="22"/>
          <w:szCs w:val="22"/>
        </w:rPr>
      </w:pPr>
      <w:r>
        <w:rPr>
          <w:rFonts w:asciiTheme="minorHAnsi" w:hAnsiTheme="minorHAnsi" w:cs="Arial"/>
          <w:b/>
          <w:noProof/>
          <w:color w:val="333333"/>
          <w:sz w:val="22"/>
          <w:szCs w:val="22"/>
        </w:rPr>
        <w:t>Version 8/4</w:t>
      </w:r>
      <w:r w:rsidR="00DE7E61" w:rsidRPr="008372E8">
        <w:rPr>
          <w:rFonts w:asciiTheme="minorHAnsi" w:hAnsiTheme="minorHAnsi" w:cs="Arial"/>
          <w:b/>
          <w:noProof/>
          <w:color w:val="333333"/>
          <w:sz w:val="22"/>
          <w:szCs w:val="22"/>
        </w:rPr>
        <w:t>/20</w:t>
      </w:r>
    </w:p>
    <w:p w14:paraId="5B282F9E" w14:textId="77777777" w:rsidR="00DE7E61" w:rsidRPr="008372E8" w:rsidRDefault="00DE7E61" w:rsidP="00DE7E61">
      <w:pPr>
        <w:ind w:left="2160"/>
        <w:rPr>
          <w:rFonts w:asciiTheme="minorHAnsi" w:hAnsiTheme="minorHAnsi" w:cs="Arial"/>
        </w:rPr>
      </w:pPr>
    </w:p>
    <w:p w14:paraId="2FB7B703" w14:textId="59737FB8" w:rsidR="00DE7E61" w:rsidRPr="00FF36D7" w:rsidRDefault="00DE7E61" w:rsidP="00DE7E61">
      <w:pPr>
        <w:rPr>
          <w:rFonts w:asciiTheme="minorHAnsi" w:hAnsiTheme="minorHAnsi" w:cs="Arial"/>
          <w:szCs w:val="24"/>
        </w:rPr>
      </w:pPr>
      <w:r w:rsidRPr="00FF36D7">
        <w:rPr>
          <w:rFonts w:asciiTheme="minorHAnsi" w:hAnsiTheme="minorHAnsi" w:cs="Arial"/>
          <w:szCs w:val="24"/>
        </w:rPr>
        <w:t xml:space="preserve">Steroids and their effect on the eye have been studied for nearly </w:t>
      </w:r>
      <w:r w:rsidR="008372E8" w:rsidRPr="00FF36D7">
        <w:rPr>
          <w:rFonts w:asciiTheme="minorHAnsi" w:hAnsiTheme="minorHAnsi" w:cs="Arial"/>
          <w:szCs w:val="24"/>
        </w:rPr>
        <w:t>sixty</w:t>
      </w:r>
      <w:r w:rsidRPr="00FF36D7">
        <w:rPr>
          <w:rFonts w:asciiTheme="minorHAnsi" w:hAnsiTheme="minorHAnsi" w:cs="Arial"/>
          <w:szCs w:val="24"/>
        </w:rPr>
        <w:t xml:space="preserve"> years.</w:t>
      </w:r>
      <w:r w:rsidRPr="00FF36D7">
        <w:rPr>
          <w:rStyle w:val="FootnoteReference"/>
          <w:rFonts w:asciiTheme="minorHAnsi" w:hAnsiTheme="minorHAnsi" w:cs="Arial"/>
          <w:szCs w:val="24"/>
        </w:rPr>
        <w:footnoteReference w:id="1"/>
      </w:r>
      <w:r w:rsidRPr="00FF36D7">
        <w:rPr>
          <w:rFonts w:asciiTheme="minorHAnsi" w:hAnsiTheme="minorHAnsi" w:cs="Arial"/>
          <w:szCs w:val="24"/>
        </w:rPr>
        <w:t xml:space="preserve"> </w:t>
      </w:r>
      <w:r w:rsidR="006A1FE4">
        <w:rPr>
          <w:rFonts w:asciiTheme="minorHAnsi" w:hAnsiTheme="minorHAnsi" w:cs="Arial"/>
          <w:szCs w:val="24"/>
        </w:rPr>
        <w:t>F</w:t>
      </w:r>
      <w:r w:rsidR="00FF36D7" w:rsidRPr="00FF36D7">
        <w:rPr>
          <w:rFonts w:asciiTheme="minorHAnsi" w:hAnsiTheme="minorHAnsi" w:cs="Arial"/>
          <w:szCs w:val="24"/>
        </w:rPr>
        <w:t>or much of that time, ophthalmologists injected Kenalog</w:t>
      </w:r>
      <w:r w:rsidR="00FF36D7" w:rsidRPr="00FF36D7">
        <w:rPr>
          <w:rFonts w:asciiTheme="minorHAnsi" w:hAnsiTheme="minorHAnsi" w:cs="Arial"/>
          <w:szCs w:val="24"/>
          <w:vertAlign w:val="superscript"/>
        </w:rPr>
        <w:t xml:space="preserve">TM </w:t>
      </w:r>
      <w:r w:rsidR="00FF36D7" w:rsidRPr="00FF36D7">
        <w:rPr>
          <w:rFonts w:asciiTheme="minorHAnsi" w:hAnsiTheme="minorHAnsi" w:cs="Arial"/>
          <w:szCs w:val="24"/>
        </w:rPr>
        <w:t xml:space="preserve">(triamcinolone acetonide or TA) off-label since no formulation of </w:t>
      </w:r>
      <w:r w:rsidR="00695D90">
        <w:rPr>
          <w:rFonts w:asciiTheme="minorHAnsi" w:hAnsiTheme="minorHAnsi" w:cs="Arial"/>
          <w:szCs w:val="24"/>
        </w:rPr>
        <w:t>TA</w:t>
      </w:r>
      <w:r w:rsidRPr="00FF36D7">
        <w:rPr>
          <w:rFonts w:asciiTheme="minorHAnsi" w:hAnsiTheme="minorHAnsi" w:cs="Arial"/>
          <w:szCs w:val="24"/>
        </w:rPr>
        <w:t xml:space="preserve"> </w:t>
      </w:r>
      <w:r w:rsidR="00FF36D7" w:rsidRPr="00FF36D7">
        <w:rPr>
          <w:rFonts w:asciiTheme="minorHAnsi" w:hAnsiTheme="minorHAnsi" w:cs="Arial"/>
          <w:szCs w:val="24"/>
        </w:rPr>
        <w:t xml:space="preserve">was </w:t>
      </w:r>
      <w:r w:rsidR="003A12AB" w:rsidRPr="00FF36D7">
        <w:rPr>
          <w:rFonts w:asciiTheme="minorHAnsi" w:hAnsiTheme="minorHAnsi" w:cs="Arial"/>
          <w:szCs w:val="24"/>
        </w:rPr>
        <w:t xml:space="preserve">approved by the Food and Drug Administration </w:t>
      </w:r>
      <w:r w:rsidR="00E5342B">
        <w:rPr>
          <w:rFonts w:asciiTheme="minorHAnsi" w:hAnsiTheme="minorHAnsi" w:cs="Arial"/>
          <w:szCs w:val="24"/>
        </w:rPr>
        <w:t xml:space="preserve">(FDA) </w:t>
      </w:r>
      <w:r w:rsidR="0025418C" w:rsidRPr="00FF36D7">
        <w:rPr>
          <w:rFonts w:asciiTheme="minorHAnsi" w:hAnsiTheme="minorHAnsi" w:cs="Arial"/>
          <w:szCs w:val="24"/>
        </w:rPr>
        <w:t>for intraocular use</w:t>
      </w:r>
      <w:r w:rsidR="00FF36D7" w:rsidRPr="00FF36D7">
        <w:rPr>
          <w:rFonts w:asciiTheme="minorHAnsi" w:hAnsiTheme="minorHAnsi" w:cs="Arial"/>
          <w:szCs w:val="24"/>
        </w:rPr>
        <w:t>. P</w:t>
      </w:r>
      <w:r w:rsidR="0025418C" w:rsidRPr="00FF36D7">
        <w:rPr>
          <w:rFonts w:asciiTheme="minorHAnsi" w:hAnsiTheme="minorHAnsi" w:cs="Arial"/>
          <w:szCs w:val="24"/>
        </w:rPr>
        <w:t xml:space="preserve">reservative-free </w:t>
      </w:r>
      <w:r w:rsidRPr="00FF36D7">
        <w:rPr>
          <w:rFonts w:asciiTheme="minorHAnsi" w:hAnsiTheme="minorHAnsi" w:cs="Arial"/>
          <w:szCs w:val="24"/>
        </w:rPr>
        <w:t>Triesence</w:t>
      </w:r>
      <w:r w:rsidRPr="00FF36D7">
        <w:rPr>
          <w:rFonts w:asciiTheme="minorHAnsi" w:hAnsiTheme="minorHAnsi" w:cs="Arial"/>
          <w:szCs w:val="24"/>
          <w:vertAlign w:val="superscript"/>
        </w:rPr>
        <w:t>TM</w:t>
      </w:r>
      <w:r w:rsidRPr="00FF36D7">
        <w:rPr>
          <w:rFonts w:asciiTheme="minorHAnsi" w:hAnsiTheme="minorHAnsi" w:cs="Arial"/>
          <w:szCs w:val="24"/>
        </w:rPr>
        <w:t xml:space="preserve"> (Alcon, Ft. Worth, TX)</w:t>
      </w:r>
      <w:r w:rsidR="00FF36D7" w:rsidRPr="00FF36D7">
        <w:rPr>
          <w:rFonts w:asciiTheme="minorHAnsi" w:hAnsiTheme="minorHAnsi" w:cs="Arial"/>
          <w:szCs w:val="24"/>
        </w:rPr>
        <w:t xml:space="preserve"> became available in 2007, </w:t>
      </w:r>
      <w:r w:rsidR="00F45193">
        <w:rPr>
          <w:rFonts w:asciiTheme="minorHAnsi" w:hAnsiTheme="minorHAnsi" w:cs="Arial"/>
          <w:szCs w:val="24"/>
        </w:rPr>
        <w:t xml:space="preserve">and is </w:t>
      </w:r>
      <w:r w:rsidR="00FF36D7" w:rsidRPr="00FF36D7">
        <w:rPr>
          <w:rFonts w:asciiTheme="minorHAnsi" w:hAnsiTheme="minorHAnsi" w:cs="Arial"/>
          <w:szCs w:val="24"/>
        </w:rPr>
        <w:t>approved</w:t>
      </w:r>
      <w:r w:rsidR="0025418C" w:rsidRPr="00FF36D7">
        <w:rPr>
          <w:rFonts w:asciiTheme="minorHAnsi" w:hAnsiTheme="minorHAnsi" w:cs="Arial"/>
          <w:szCs w:val="24"/>
        </w:rPr>
        <w:t xml:space="preserve"> </w:t>
      </w:r>
      <w:r w:rsidR="00F45193">
        <w:rPr>
          <w:rFonts w:asciiTheme="minorHAnsi" w:hAnsiTheme="minorHAnsi" w:cs="Arial"/>
          <w:szCs w:val="24"/>
        </w:rPr>
        <w:t xml:space="preserve">to treat </w:t>
      </w:r>
      <w:r w:rsidR="0025418C" w:rsidRPr="00FF36D7">
        <w:rPr>
          <w:rFonts w:asciiTheme="minorHAnsi" w:hAnsiTheme="minorHAnsi" w:cs="Arial"/>
          <w:szCs w:val="24"/>
        </w:rPr>
        <w:t xml:space="preserve">sympathetic ophthalmia, temporal arteritis, uveitis, ocular inflammatory conditions unresponsive to topical corticosteroids, and visualization during vitrectomy. Ophthalmologists use Triesence for other indications, and may </w:t>
      </w:r>
      <w:r w:rsidR="00FF36D7" w:rsidRPr="00FF36D7">
        <w:rPr>
          <w:rFonts w:asciiTheme="minorHAnsi" w:hAnsiTheme="minorHAnsi" w:cs="Arial"/>
          <w:szCs w:val="24"/>
        </w:rPr>
        <w:t>us</w:t>
      </w:r>
      <w:r w:rsidR="0025418C" w:rsidRPr="00FF36D7">
        <w:rPr>
          <w:rFonts w:asciiTheme="minorHAnsi" w:hAnsiTheme="minorHAnsi" w:cs="Arial"/>
          <w:szCs w:val="24"/>
        </w:rPr>
        <w:t>e Kenalog</w:t>
      </w:r>
      <w:r w:rsidR="0025418C" w:rsidRPr="00FF36D7">
        <w:rPr>
          <w:rFonts w:asciiTheme="minorHAnsi" w:hAnsiTheme="minorHAnsi" w:cs="Arial"/>
          <w:szCs w:val="24"/>
          <w:vertAlign w:val="superscript"/>
        </w:rPr>
        <w:t>TM</w:t>
      </w:r>
      <w:r w:rsidR="00695D90">
        <w:rPr>
          <w:rFonts w:asciiTheme="minorHAnsi" w:hAnsiTheme="minorHAnsi" w:cs="Arial"/>
          <w:szCs w:val="24"/>
        </w:rPr>
        <w:t xml:space="preserve"> off-label</w:t>
      </w:r>
      <w:r w:rsidR="003A12AB" w:rsidRPr="00FF36D7">
        <w:rPr>
          <w:rFonts w:asciiTheme="minorHAnsi" w:hAnsiTheme="minorHAnsi" w:cs="Arial"/>
          <w:szCs w:val="24"/>
        </w:rPr>
        <w:t>,</w:t>
      </w:r>
      <w:r w:rsidR="0025418C" w:rsidRPr="00FF36D7">
        <w:rPr>
          <w:rFonts w:asciiTheme="minorHAnsi" w:hAnsiTheme="minorHAnsi" w:cs="Arial"/>
          <w:szCs w:val="24"/>
        </w:rPr>
        <w:t xml:space="preserve"> especially when </w:t>
      </w:r>
      <w:r w:rsidR="00FF36D7" w:rsidRPr="00FF36D7">
        <w:rPr>
          <w:rFonts w:asciiTheme="minorHAnsi" w:hAnsiTheme="minorHAnsi" w:cs="Arial"/>
          <w:szCs w:val="24"/>
        </w:rPr>
        <w:t>manufacturing delays make Triesence</w:t>
      </w:r>
      <w:r w:rsidR="00FF36D7" w:rsidRPr="00FF36D7">
        <w:rPr>
          <w:rFonts w:asciiTheme="minorHAnsi" w:hAnsiTheme="minorHAnsi" w:cs="Arial"/>
          <w:szCs w:val="24"/>
          <w:vertAlign w:val="superscript"/>
        </w:rPr>
        <w:t>TM</w:t>
      </w:r>
      <w:r w:rsidR="00FF36D7" w:rsidRPr="00FF36D7">
        <w:rPr>
          <w:rFonts w:asciiTheme="minorHAnsi" w:hAnsiTheme="minorHAnsi" w:cs="Arial"/>
          <w:szCs w:val="24"/>
        </w:rPr>
        <w:t xml:space="preserve"> unavailable. </w:t>
      </w:r>
      <w:r w:rsidR="008372E8" w:rsidRPr="00FF36D7">
        <w:rPr>
          <w:rFonts w:asciiTheme="minorHAnsi" w:hAnsiTheme="minorHAnsi" w:cs="Arial"/>
          <w:szCs w:val="24"/>
        </w:rPr>
        <w:t xml:space="preserve">Some ophthalmologists have contacted OMIC to inquire about the </w:t>
      </w:r>
      <w:r w:rsidRPr="00FF36D7">
        <w:rPr>
          <w:rFonts w:asciiTheme="minorHAnsi" w:hAnsiTheme="minorHAnsi" w:cs="Arial"/>
          <w:szCs w:val="24"/>
        </w:rPr>
        <w:t>m</w:t>
      </w:r>
      <w:r w:rsidR="0025418C" w:rsidRPr="00FF36D7">
        <w:rPr>
          <w:rFonts w:asciiTheme="minorHAnsi" w:hAnsiTheme="minorHAnsi" w:cs="Arial"/>
          <w:szCs w:val="24"/>
        </w:rPr>
        <w:t>e</w:t>
      </w:r>
      <w:r w:rsidR="00FF36D7" w:rsidRPr="00FF36D7">
        <w:rPr>
          <w:rFonts w:asciiTheme="minorHAnsi" w:hAnsiTheme="minorHAnsi" w:cs="Arial"/>
          <w:szCs w:val="24"/>
        </w:rPr>
        <w:t xml:space="preserve">dicolegal consequences of </w:t>
      </w:r>
      <w:r w:rsidR="0025418C" w:rsidRPr="00FF36D7">
        <w:rPr>
          <w:rFonts w:asciiTheme="minorHAnsi" w:hAnsiTheme="minorHAnsi" w:cs="Arial"/>
          <w:szCs w:val="24"/>
        </w:rPr>
        <w:t xml:space="preserve">“off-label” use of </w:t>
      </w:r>
      <w:r w:rsidR="003A12AB" w:rsidRPr="00FF36D7">
        <w:rPr>
          <w:rFonts w:asciiTheme="minorHAnsi" w:hAnsiTheme="minorHAnsi" w:cs="Arial"/>
          <w:szCs w:val="24"/>
        </w:rPr>
        <w:t>the</w:t>
      </w:r>
      <w:r w:rsidR="00FF36D7" w:rsidRPr="00FF36D7">
        <w:rPr>
          <w:rFonts w:asciiTheme="minorHAnsi" w:hAnsiTheme="minorHAnsi" w:cs="Arial"/>
          <w:szCs w:val="24"/>
        </w:rPr>
        <w:t>se</w:t>
      </w:r>
      <w:r w:rsidR="003A12AB" w:rsidRPr="00FF36D7">
        <w:rPr>
          <w:rFonts w:asciiTheme="minorHAnsi" w:hAnsiTheme="minorHAnsi" w:cs="Arial"/>
          <w:szCs w:val="24"/>
        </w:rPr>
        <w:t xml:space="preserve"> two drugs. </w:t>
      </w:r>
    </w:p>
    <w:p w14:paraId="35F4B62C" w14:textId="77777777" w:rsidR="003A12AB" w:rsidRPr="00FF36D7" w:rsidRDefault="003A12AB" w:rsidP="00DE7E61">
      <w:pPr>
        <w:rPr>
          <w:rFonts w:asciiTheme="minorHAnsi" w:hAnsiTheme="minorHAnsi" w:cs="Arial"/>
          <w:szCs w:val="24"/>
        </w:rPr>
      </w:pPr>
    </w:p>
    <w:p w14:paraId="07FD85C9" w14:textId="77777777" w:rsidR="00E5342B" w:rsidRPr="00FF36D7" w:rsidRDefault="00E5342B" w:rsidP="00E5342B">
      <w:pPr>
        <w:pStyle w:val="Subtitle"/>
        <w:jc w:val="left"/>
        <w:rPr>
          <w:rFonts w:asciiTheme="minorHAnsi" w:hAnsiTheme="minorHAnsi" w:cs="Arial"/>
          <w:b w:val="0"/>
          <w:sz w:val="24"/>
          <w:szCs w:val="24"/>
        </w:rPr>
      </w:pPr>
      <w:r w:rsidRPr="00FF36D7">
        <w:rPr>
          <w:rFonts w:asciiTheme="minorHAnsi" w:hAnsiTheme="minorHAnsi" w:cs="Arial"/>
          <w:b w:val="0"/>
          <w:bCs w:val="0"/>
          <w:sz w:val="24"/>
          <w:szCs w:val="24"/>
        </w:rPr>
        <w:t>The FDA has clarified that o</w:t>
      </w:r>
      <w:r w:rsidRPr="00FF36D7">
        <w:rPr>
          <w:rFonts w:asciiTheme="minorHAnsi" w:hAnsiTheme="minorHAnsi" w:cs="Arial"/>
          <w:b w:val="0"/>
          <w:sz w:val="24"/>
          <w:szCs w:val="24"/>
        </w:rPr>
        <w:t>nce it approves a device/medication, physicians may use it “off-label” for other purposes if they are well-informed about the product, base its use on firm scientific information and sound medical evidence, and maintain records of its use and effects.</w:t>
      </w:r>
      <w:r w:rsidRPr="00FF36D7">
        <w:rPr>
          <w:rStyle w:val="FootnoteReference"/>
          <w:rFonts w:asciiTheme="minorHAnsi" w:eastAsia="Times" w:hAnsiTheme="minorHAnsi" w:cs="Arial"/>
          <w:b w:val="0"/>
          <w:sz w:val="24"/>
          <w:szCs w:val="24"/>
        </w:rPr>
        <w:footnoteReference w:id="2"/>
      </w:r>
      <w:r w:rsidR="006A1FE4" w:rsidRPr="00FF36D7">
        <w:rPr>
          <w:rFonts w:asciiTheme="minorHAnsi" w:hAnsiTheme="minorHAnsi" w:cs="Arial"/>
          <w:b w:val="0"/>
          <w:sz w:val="24"/>
          <w:szCs w:val="24"/>
        </w:rPr>
        <w:t xml:space="preserve"> </w:t>
      </w:r>
      <w:r>
        <w:rPr>
          <w:rFonts w:asciiTheme="minorHAnsi" w:hAnsiTheme="minorHAnsi" w:cs="Arial"/>
          <w:b w:val="0"/>
          <w:sz w:val="24"/>
          <w:szCs w:val="24"/>
        </w:rPr>
        <w:lastRenderedPageBreak/>
        <w:t>T</w:t>
      </w:r>
      <w:r w:rsidRPr="00FF36D7">
        <w:rPr>
          <w:rFonts w:asciiTheme="minorHAnsi" w:hAnsiTheme="minorHAnsi" w:cs="Arial"/>
          <w:b w:val="0"/>
          <w:sz w:val="24"/>
          <w:szCs w:val="24"/>
        </w:rPr>
        <w:t>he FDA considers such use to be “the practice of medicine,” which it does not directly regulate. The FDA does, however, expect physicians to practice in a manner that is designed solely to insure the well-be</w:t>
      </w:r>
      <w:r>
        <w:rPr>
          <w:rFonts w:asciiTheme="minorHAnsi" w:hAnsiTheme="minorHAnsi" w:cs="Arial"/>
          <w:b w:val="0"/>
          <w:sz w:val="24"/>
          <w:szCs w:val="24"/>
        </w:rPr>
        <w:t xml:space="preserve">ing of the individual patient. </w:t>
      </w:r>
      <w:r w:rsidRPr="00FF36D7">
        <w:rPr>
          <w:rFonts w:asciiTheme="minorHAnsi" w:hAnsiTheme="minorHAnsi" w:cs="Arial"/>
          <w:b w:val="0"/>
          <w:sz w:val="24"/>
          <w:szCs w:val="24"/>
        </w:rPr>
        <w:t xml:space="preserve">Accordingly, the FDA generally does not oversee or interfere with a physician's individual practice decisions unless a physician is himself marketing or selling a drug or device, acting as an investigator in clinical research, or gathering information about safety or efficacy. </w:t>
      </w:r>
    </w:p>
    <w:p w14:paraId="240234A8" w14:textId="77777777" w:rsidR="00E5342B" w:rsidRPr="00FF36D7" w:rsidRDefault="00E5342B" w:rsidP="00E5342B">
      <w:pPr>
        <w:pStyle w:val="Subtitle"/>
        <w:jc w:val="left"/>
        <w:rPr>
          <w:rFonts w:asciiTheme="minorHAnsi" w:hAnsiTheme="minorHAnsi" w:cs="Arial"/>
          <w:b w:val="0"/>
          <w:sz w:val="24"/>
          <w:szCs w:val="24"/>
        </w:rPr>
      </w:pPr>
    </w:p>
    <w:p w14:paraId="03AAD332" w14:textId="77777777" w:rsidR="00DE7E61" w:rsidRPr="00FF36D7" w:rsidRDefault="00E5342B" w:rsidP="006A1FE4">
      <w:pPr>
        <w:pStyle w:val="Subtitle"/>
        <w:jc w:val="left"/>
        <w:rPr>
          <w:rFonts w:asciiTheme="minorHAnsi" w:hAnsiTheme="minorHAnsi" w:cs="Arial"/>
          <w:sz w:val="24"/>
          <w:szCs w:val="24"/>
        </w:rPr>
      </w:pPr>
      <w:r>
        <w:rPr>
          <w:rFonts w:asciiTheme="minorHAnsi" w:hAnsiTheme="minorHAnsi" w:cs="Arial"/>
          <w:b w:val="0"/>
          <w:sz w:val="24"/>
          <w:szCs w:val="24"/>
        </w:rPr>
        <w:t>In accordance with this FDA guidance, o</w:t>
      </w:r>
      <w:r w:rsidR="00FF36D7" w:rsidRPr="00FF36D7">
        <w:rPr>
          <w:rFonts w:asciiTheme="minorHAnsi" w:hAnsiTheme="minorHAnsi" w:cs="Arial"/>
          <w:b w:val="0"/>
          <w:sz w:val="24"/>
          <w:szCs w:val="24"/>
        </w:rPr>
        <w:t xml:space="preserve">ur </w:t>
      </w:r>
      <w:r w:rsidR="003A12AB" w:rsidRPr="00FF36D7">
        <w:rPr>
          <w:rFonts w:asciiTheme="minorHAnsi" w:hAnsiTheme="minorHAnsi" w:cs="Arial"/>
          <w:b w:val="0"/>
          <w:sz w:val="24"/>
          <w:szCs w:val="24"/>
        </w:rPr>
        <w:t xml:space="preserve">Legal and Risk Management Departments </w:t>
      </w:r>
      <w:r w:rsidR="00FF36D7" w:rsidRPr="00FF36D7">
        <w:rPr>
          <w:rFonts w:asciiTheme="minorHAnsi" w:hAnsiTheme="minorHAnsi" w:cs="Arial"/>
          <w:b w:val="0"/>
          <w:sz w:val="24"/>
          <w:szCs w:val="24"/>
        </w:rPr>
        <w:t xml:space="preserve">recognize </w:t>
      </w:r>
      <w:r w:rsidR="00DE7E61" w:rsidRPr="00FF36D7">
        <w:rPr>
          <w:rFonts w:asciiTheme="minorHAnsi" w:hAnsiTheme="minorHAnsi" w:cs="Arial"/>
          <w:b w:val="0"/>
          <w:sz w:val="24"/>
          <w:szCs w:val="24"/>
        </w:rPr>
        <w:t>that “off-label” use of approved medications is a legal and necessary part of the practice of medicine. In the event of a lawsuit, ophthalmologists wh</w:t>
      </w:r>
      <w:r w:rsidR="00FF36D7" w:rsidRPr="00FF36D7">
        <w:rPr>
          <w:rFonts w:asciiTheme="minorHAnsi" w:hAnsiTheme="minorHAnsi" w:cs="Arial"/>
          <w:b w:val="0"/>
          <w:sz w:val="24"/>
          <w:szCs w:val="24"/>
        </w:rPr>
        <w:t>o are challenged about their choice</w:t>
      </w:r>
      <w:r w:rsidR="00DE7E61" w:rsidRPr="00FF36D7">
        <w:rPr>
          <w:rFonts w:asciiTheme="minorHAnsi" w:hAnsiTheme="minorHAnsi" w:cs="Arial"/>
          <w:b w:val="0"/>
          <w:sz w:val="24"/>
          <w:szCs w:val="24"/>
        </w:rPr>
        <w:t xml:space="preserve"> of one medication over another will continue to rely upon expert witnesses, peer-reviewed literature, and well-documented efforts to provide quality care.</w:t>
      </w:r>
      <w:r w:rsidR="00DE7E61" w:rsidRPr="00FF36D7">
        <w:rPr>
          <w:rFonts w:asciiTheme="minorHAnsi" w:hAnsiTheme="minorHAnsi" w:cs="Arial"/>
          <w:sz w:val="24"/>
          <w:szCs w:val="24"/>
        </w:rPr>
        <w:t xml:space="preserve"> </w:t>
      </w:r>
      <w:r w:rsidR="00DE7E61" w:rsidRPr="00FF36D7">
        <w:rPr>
          <w:rFonts w:asciiTheme="minorHAnsi" w:hAnsiTheme="minorHAnsi" w:cs="Arial"/>
          <w:b w:val="0"/>
          <w:sz w:val="24"/>
          <w:szCs w:val="24"/>
        </w:rPr>
        <w:t xml:space="preserve">Furthermore, OMIC feels that the ophthalmologist is in the best position to </w:t>
      </w:r>
      <w:r w:rsidR="003A12AB" w:rsidRPr="00FF36D7">
        <w:rPr>
          <w:rFonts w:asciiTheme="minorHAnsi" w:hAnsiTheme="minorHAnsi" w:cs="Arial"/>
          <w:b w:val="0"/>
          <w:sz w:val="24"/>
          <w:szCs w:val="24"/>
        </w:rPr>
        <w:t xml:space="preserve">determine which medication would best serve the patient’s needs. </w:t>
      </w:r>
      <w:r w:rsidR="00DE7E61" w:rsidRPr="00FF36D7">
        <w:rPr>
          <w:rFonts w:asciiTheme="minorHAnsi" w:hAnsiTheme="minorHAnsi" w:cs="Arial"/>
          <w:b w:val="0"/>
          <w:sz w:val="24"/>
          <w:szCs w:val="24"/>
        </w:rPr>
        <w:t xml:space="preserve">Our professional liability policy </w:t>
      </w:r>
      <w:r w:rsidR="00FF36D7" w:rsidRPr="00FF36D7">
        <w:rPr>
          <w:rFonts w:asciiTheme="minorHAnsi" w:hAnsiTheme="minorHAnsi" w:cs="Arial"/>
          <w:b w:val="0"/>
          <w:sz w:val="24"/>
          <w:szCs w:val="24"/>
        </w:rPr>
        <w:t xml:space="preserve">thus </w:t>
      </w:r>
      <w:r w:rsidR="00DE7E61" w:rsidRPr="00FF36D7">
        <w:rPr>
          <w:rFonts w:asciiTheme="minorHAnsi" w:hAnsiTheme="minorHAnsi" w:cs="Arial"/>
          <w:b w:val="0"/>
          <w:sz w:val="24"/>
          <w:szCs w:val="24"/>
        </w:rPr>
        <w:t xml:space="preserve">provides coverage for such </w:t>
      </w:r>
      <w:r w:rsidR="00FF36D7" w:rsidRPr="00FF36D7">
        <w:rPr>
          <w:rFonts w:asciiTheme="minorHAnsi" w:hAnsiTheme="minorHAnsi" w:cs="Arial"/>
          <w:b w:val="0"/>
          <w:sz w:val="24"/>
          <w:szCs w:val="24"/>
        </w:rPr>
        <w:t xml:space="preserve">off-label </w:t>
      </w:r>
      <w:r w:rsidR="00DE7E61" w:rsidRPr="00FF36D7">
        <w:rPr>
          <w:rFonts w:asciiTheme="minorHAnsi" w:hAnsiTheme="minorHAnsi" w:cs="Arial"/>
          <w:b w:val="0"/>
          <w:sz w:val="24"/>
          <w:szCs w:val="24"/>
        </w:rPr>
        <w:t>use</w:t>
      </w:r>
      <w:r w:rsidR="003A12AB" w:rsidRPr="00FF36D7">
        <w:rPr>
          <w:rFonts w:asciiTheme="minorHAnsi" w:hAnsiTheme="minorHAnsi" w:cs="Arial"/>
          <w:sz w:val="24"/>
          <w:szCs w:val="24"/>
        </w:rPr>
        <w:t>.</w:t>
      </w:r>
      <w:r w:rsidR="006A1FE4">
        <w:rPr>
          <w:rFonts w:asciiTheme="minorHAnsi" w:hAnsiTheme="minorHAnsi" w:cs="Arial"/>
          <w:b w:val="0"/>
          <w:sz w:val="24"/>
          <w:szCs w:val="24"/>
        </w:rPr>
        <w:t xml:space="preserve"> </w:t>
      </w:r>
    </w:p>
    <w:p w14:paraId="679C09E1" w14:textId="5F3768B5" w:rsidR="00DE7E61" w:rsidRPr="00FF36D7" w:rsidRDefault="00DE7E61" w:rsidP="00DE7E61">
      <w:pPr>
        <w:ind w:right="360"/>
        <w:rPr>
          <w:rFonts w:asciiTheme="minorHAnsi" w:hAnsiTheme="minorHAnsi" w:cs="Arial"/>
          <w:szCs w:val="24"/>
        </w:rPr>
      </w:pPr>
    </w:p>
    <w:p w14:paraId="6833EF27" w14:textId="77777777" w:rsidR="00DE7E61" w:rsidRPr="00FF36D7" w:rsidRDefault="00221329" w:rsidP="00285091">
      <w:pPr>
        <w:ind w:right="360"/>
        <w:rPr>
          <w:rFonts w:asciiTheme="minorHAnsi" w:hAnsiTheme="minorHAnsi" w:cs="Arial"/>
          <w:szCs w:val="24"/>
        </w:rPr>
      </w:pPr>
      <w:r>
        <w:rPr>
          <w:rFonts w:asciiTheme="minorHAnsi" w:hAnsiTheme="minorHAnsi" w:cs="Arial"/>
          <w:b/>
          <w:szCs w:val="24"/>
          <w:u w:val="single"/>
        </w:rPr>
        <w:t>T</w:t>
      </w:r>
      <w:r w:rsidR="00DE7E61" w:rsidRPr="00FF36D7">
        <w:rPr>
          <w:rFonts w:asciiTheme="minorHAnsi" w:hAnsiTheme="minorHAnsi" w:cs="Arial"/>
          <w:b/>
          <w:szCs w:val="24"/>
          <w:u w:val="single"/>
        </w:rPr>
        <w:t>reatment selection</w:t>
      </w:r>
    </w:p>
    <w:p w14:paraId="2B6A9305" w14:textId="77777777" w:rsidR="00DE7E61" w:rsidRPr="00FF36D7" w:rsidRDefault="00DE7E61" w:rsidP="00DE7E61">
      <w:pPr>
        <w:numPr>
          <w:ilvl w:val="0"/>
          <w:numId w:val="1"/>
        </w:numPr>
        <w:ind w:right="360"/>
        <w:rPr>
          <w:rFonts w:asciiTheme="minorHAnsi" w:hAnsiTheme="minorHAnsi" w:cs="Arial"/>
          <w:szCs w:val="24"/>
        </w:rPr>
      </w:pPr>
      <w:r w:rsidRPr="00FF36D7">
        <w:rPr>
          <w:rFonts w:asciiTheme="minorHAnsi" w:hAnsiTheme="minorHAnsi" w:cs="Arial"/>
          <w:szCs w:val="24"/>
        </w:rPr>
        <w:t>Determine what is in the best interests of the particular patient.</w:t>
      </w:r>
    </w:p>
    <w:p w14:paraId="3296F737" w14:textId="77777777" w:rsidR="006A1FE4" w:rsidRDefault="00221329" w:rsidP="00DE7E61">
      <w:pPr>
        <w:numPr>
          <w:ilvl w:val="0"/>
          <w:numId w:val="1"/>
        </w:numPr>
        <w:ind w:right="360"/>
        <w:rPr>
          <w:rFonts w:asciiTheme="minorHAnsi" w:hAnsiTheme="minorHAnsi" w:cs="Arial"/>
          <w:szCs w:val="24"/>
        </w:rPr>
      </w:pPr>
      <w:r>
        <w:rPr>
          <w:rFonts w:asciiTheme="minorHAnsi" w:hAnsiTheme="minorHAnsi" w:cs="Arial"/>
          <w:szCs w:val="24"/>
        </w:rPr>
        <w:t xml:space="preserve">Consider using the </w:t>
      </w:r>
      <w:r w:rsidR="00DE7E61" w:rsidRPr="00FF36D7">
        <w:rPr>
          <w:rFonts w:asciiTheme="minorHAnsi" w:hAnsiTheme="minorHAnsi" w:cs="Arial"/>
          <w:szCs w:val="24"/>
        </w:rPr>
        <w:t xml:space="preserve">FDA-approved medication for the </w:t>
      </w:r>
      <w:r>
        <w:rPr>
          <w:rFonts w:asciiTheme="minorHAnsi" w:hAnsiTheme="minorHAnsi" w:cs="Arial"/>
          <w:szCs w:val="24"/>
        </w:rPr>
        <w:t>patient’s ophthalmic condition if it is available and covered by the patient’s insurance plan.</w:t>
      </w:r>
      <w:r w:rsidR="00DE7E61" w:rsidRPr="00FF36D7">
        <w:rPr>
          <w:rFonts w:asciiTheme="minorHAnsi" w:hAnsiTheme="minorHAnsi" w:cs="Arial"/>
          <w:szCs w:val="24"/>
        </w:rPr>
        <w:t xml:space="preserve"> </w:t>
      </w:r>
    </w:p>
    <w:p w14:paraId="6496CEFF" w14:textId="77777777" w:rsidR="00DE7E61" w:rsidRPr="00FF36D7" w:rsidRDefault="00DE7E61" w:rsidP="00DE7E61">
      <w:pPr>
        <w:numPr>
          <w:ilvl w:val="0"/>
          <w:numId w:val="1"/>
        </w:numPr>
        <w:ind w:right="360"/>
        <w:rPr>
          <w:rFonts w:asciiTheme="minorHAnsi" w:hAnsiTheme="minorHAnsi" w:cs="Arial"/>
          <w:szCs w:val="24"/>
        </w:rPr>
      </w:pPr>
      <w:r w:rsidRPr="00FF36D7">
        <w:rPr>
          <w:rFonts w:asciiTheme="minorHAnsi" w:hAnsiTheme="minorHAnsi" w:cs="Arial"/>
          <w:szCs w:val="24"/>
        </w:rPr>
        <w:t>Conduct and document pertinent diagnostic/monitoring tests, such as fluorescein angiogram and OCT, as part of the evaluation. If applicable, note lesion type, location, size, and presence of subretinal fluid.</w:t>
      </w:r>
    </w:p>
    <w:p w14:paraId="088FFA8F" w14:textId="77777777" w:rsidR="00DE7E61" w:rsidRPr="00FF36D7" w:rsidRDefault="00DE7E61" w:rsidP="00DE7E61">
      <w:pPr>
        <w:numPr>
          <w:ilvl w:val="0"/>
          <w:numId w:val="1"/>
        </w:numPr>
        <w:ind w:right="360"/>
        <w:rPr>
          <w:rFonts w:asciiTheme="minorHAnsi" w:hAnsiTheme="minorHAnsi" w:cs="Arial"/>
          <w:szCs w:val="24"/>
        </w:rPr>
      </w:pPr>
      <w:r w:rsidRPr="00FF36D7">
        <w:rPr>
          <w:rFonts w:asciiTheme="minorHAnsi" w:hAnsiTheme="minorHAnsi" w:cs="Arial"/>
          <w:szCs w:val="24"/>
        </w:rPr>
        <w:t>Document prior treatment efforts, if any, and the decision-making process that led to the choice of triamcinolone acetonide.</w:t>
      </w:r>
    </w:p>
    <w:p w14:paraId="168C0556" w14:textId="77777777" w:rsidR="00DE7E61" w:rsidRPr="00FF36D7" w:rsidRDefault="00DE7E61" w:rsidP="00DE7E61">
      <w:pPr>
        <w:ind w:right="360"/>
        <w:rPr>
          <w:rFonts w:asciiTheme="minorHAnsi" w:hAnsiTheme="minorHAnsi" w:cs="Arial"/>
          <w:szCs w:val="24"/>
        </w:rPr>
      </w:pPr>
    </w:p>
    <w:p w14:paraId="14B56F5D" w14:textId="77777777" w:rsidR="00DE7E61" w:rsidRPr="00FF36D7" w:rsidRDefault="00A94591" w:rsidP="00285091">
      <w:pPr>
        <w:ind w:right="360"/>
        <w:rPr>
          <w:rFonts w:asciiTheme="minorHAnsi" w:hAnsiTheme="minorHAnsi" w:cs="Arial"/>
          <w:szCs w:val="24"/>
        </w:rPr>
      </w:pPr>
      <w:r>
        <w:rPr>
          <w:rFonts w:asciiTheme="minorHAnsi" w:hAnsiTheme="minorHAnsi" w:cs="Arial"/>
          <w:b/>
          <w:szCs w:val="24"/>
          <w:u w:val="single"/>
        </w:rPr>
        <w:t>Preparation of Kenalog</w:t>
      </w:r>
      <w:r w:rsidRPr="00A94591">
        <w:rPr>
          <w:rFonts w:asciiTheme="minorHAnsi" w:hAnsiTheme="minorHAnsi" w:cs="Arial"/>
          <w:b/>
          <w:szCs w:val="24"/>
          <w:u w:val="single"/>
          <w:vertAlign w:val="superscript"/>
        </w:rPr>
        <w:t>TM</w:t>
      </w:r>
      <w:r>
        <w:rPr>
          <w:rFonts w:asciiTheme="minorHAnsi" w:hAnsiTheme="minorHAnsi" w:cs="Arial"/>
          <w:b/>
          <w:szCs w:val="24"/>
          <w:u w:val="single"/>
        </w:rPr>
        <w:t xml:space="preserve"> for intraocular use</w:t>
      </w:r>
    </w:p>
    <w:p w14:paraId="0F7E0254" w14:textId="77777777" w:rsidR="00DE7E61" w:rsidRPr="00FF36D7" w:rsidRDefault="00DE7E61" w:rsidP="00DE7E61">
      <w:pPr>
        <w:numPr>
          <w:ilvl w:val="0"/>
          <w:numId w:val="1"/>
        </w:numPr>
        <w:ind w:right="360"/>
        <w:rPr>
          <w:rFonts w:asciiTheme="minorHAnsi" w:hAnsiTheme="minorHAnsi" w:cs="Arial"/>
          <w:szCs w:val="24"/>
        </w:rPr>
      </w:pPr>
      <w:r w:rsidRPr="00FF36D7">
        <w:rPr>
          <w:rFonts w:asciiTheme="minorHAnsi" w:hAnsiTheme="minorHAnsi" w:cs="Arial"/>
          <w:szCs w:val="24"/>
        </w:rPr>
        <w:t>Proper aseptic technique should be utilized during the preparation and administration of the injection.</w:t>
      </w:r>
    </w:p>
    <w:p w14:paraId="702C0530" w14:textId="77777777" w:rsidR="00615E08" w:rsidRDefault="00615E08" w:rsidP="00DE7E61">
      <w:pPr>
        <w:numPr>
          <w:ilvl w:val="0"/>
          <w:numId w:val="1"/>
        </w:numPr>
        <w:ind w:right="360"/>
        <w:rPr>
          <w:rFonts w:asciiTheme="minorHAnsi" w:hAnsiTheme="minorHAnsi" w:cs="Arial"/>
          <w:szCs w:val="24"/>
        </w:rPr>
      </w:pPr>
      <w:r>
        <w:rPr>
          <w:rFonts w:asciiTheme="minorHAnsi" w:hAnsiTheme="minorHAnsi" w:cs="Arial"/>
          <w:szCs w:val="24"/>
        </w:rPr>
        <w:t>Many</w:t>
      </w:r>
      <w:r w:rsidR="00DE7E61" w:rsidRPr="00F45193">
        <w:rPr>
          <w:rFonts w:asciiTheme="minorHAnsi" w:hAnsiTheme="minorHAnsi" w:cs="Arial"/>
          <w:szCs w:val="24"/>
        </w:rPr>
        <w:t xml:space="preserve"> ophthalmologists use the commercially available form of Kenalog</w:t>
      </w:r>
      <w:r w:rsidR="00DE7E61" w:rsidRPr="00F45193">
        <w:rPr>
          <w:rFonts w:asciiTheme="minorHAnsi" w:hAnsiTheme="minorHAnsi" w:cs="Arial"/>
          <w:szCs w:val="24"/>
          <w:vertAlign w:val="superscript"/>
        </w:rPr>
        <w:t>TM</w:t>
      </w:r>
      <w:r w:rsidR="006A1FE4" w:rsidRPr="00F45193">
        <w:rPr>
          <w:rFonts w:asciiTheme="minorHAnsi" w:hAnsiTheme="minorHAnsi" w:cs="Arial"/>
          <w:szCs w:val="24"/>
        </w:rPr>
        <w:t xml:space="preserve"> and prepare it for intraocular use.</w:t>
      </w:r>
      <w:r w:rsidR="006A1FE4">
        <w:rPr>
          <w:rStyle w:val="FootnoteReference"/>
          <w:rFonts w:asciiTheme="minorHAnsi" w:hAnsiTheme="minorHAnsi" w:cs="Arial"/>
          <w:szCs w:val="24"/>
        </w:rPr>
        <w:footnoteReference w:id="3"/>
      </w:r>
      <w:r w:rsidR="006A1FE4" w:rsidRPr="00F45193">
        <w:rPr>
          <w:rFonts w:asciiTheme="minorHAnsi" w:hAnsiTheme="minorHAnsi" w:cs="Arial"/>
          <w:szCs w:val="24"/>
        </w:rPr>
        <w:t xml:space="preserve"> </w:t>
      </w:r>
    </w:p>
    <w:p w14:paraId="63CFF6E0" w14:textId="77777777" w:rsidR="00221329" w:rsidRPr="00285091" w:rsidRDefault="00615E08" w:rsidP="00221329">
      <w:pPr>
        <w:pStyle w:val="ListParagraph"/>
        <w:numPr>
          <w:ilvl w:val="0"/>
          <w:numId w:val="1"/>
        </w:numPr>
        <w:rPr>
          <w:rFonts w:asciiTheme="minorHAnsi" w:hAnsiTheme="minorHAnsi" w:cs="Arial"/>
        </w:rPr>
      </w:pPr>
      <w:r w:rsidRPr="00285091">
        <w:rPr>
          <w:rFonts w:asciiTheme="minorHAnsi" w:hAnsiTheme="minorHAnsi" w:cs="Arial"/>
          <w:szCs w:val="24"/>
        </w:rPr>
        <w:t xml:space="preserve">Others </w:t>
      </w:r>
      <w:r w:rsidR="00DE7E61" w:rsidRPr="00285091">
        <w:rPr>
          <w:rFonts w:asciiTheme="minorHAnsi" w:hAnsiTheme="minorHAnsi" w:cs="Arial"/>
          <w:szCs w:val="24"/>
        </w:rPr>
        <w:t>choose to administer a preservative-free form that is usually prepared by a compounding pharmacy, a process that may introduce other risks</w:t>
      </w:r>
      <w:r w:rsidR="00F45193" w:rsidRPr="00285091">
        <w:rPr>
          <w:rFonts w:asciiTheme="minorHAnsi" w:hAnsiTheme="minorHAnsi" w:cs="Arial"/>
          <w:szCs w:val="24"/>
        </w:rPr>
        <w:t>.</w:t>
      </w:r>
      <w:r w:rsidR="00A94591" w:rsidRPr="00285091">
        <w:rPr>
          <w:rFonts w:asciiTheme="minorHAnsi" w:hAnsiTheme="minorHAnsi" w:cs="Arial"/>
          <w:szCs w:val="24"/>
        </w:rPr>
        <w:t xml:space="preserve"> </w:t>
      </w:r>
      <w:r w:rsidR="00221329" w:rsidRPr="00285091">
        <w:rPr>
          <w:rFonts w:asciiTheme="minorHAnsi" w:hAnsiTheme="minorHAnsi" w:cs="Arial"/>
        </w:rPr>
        <w:t xml:space="preserve">Compounding pharmacies (CFs) operate under Section 503A of the law and are governed by their state board of pharmacy. They must be in compliance with USP (United States Pharmacopeia) Chapter 797, which regulates the compounding, transportation, and storage of compounded sterile products (CSP). CFs require a patient-specific prescription. </w:t>
      </w:r>
    </w:p>
    <w:p w14:paraId="3C3ED3B4" w14:textId="253F9401" w:rsidR="00221329" w:rsidRPr="00221329" w:rsidRDefault="00221329" w:rsidP="00221329">
      <w:pPr>
        <w:pStyle w:val="ListParagraph"/>
        <w:numPr>
          <w:ilvl w:val="0"/>
          <w:numId w:val="1"/>
        </w:numPr>
        <w:rPr>
          <w:rFonts w:asciiTheme="minorHAnsi" w:hAnsiTheme="minorHAnsi" w:cs="Arial"/>
        </w:rPr>
      </w:pPr>
      <w:r>
        <w:rPr>
          <w:rFonts w:asciiTheme="minorHAnsi" w:hAnsiTheme="minorHAnsi" w:cs="Arial"/>
        </w:rPr>
        <w:t>Credential the compounding pharmacy by asking for evidence of licensure in the state in which it is dispensing, and assurance that i</w:t>
      </w:r>
      <w:r w:rsidR="00732B13">
        <w:rPr>
          <w:rFonts w:asciiTheme="minorHAnsi" w:hAnsiTheme="minorHAnsi" w:cs="Arial"/>
        </w:rPr>
        <w:t>t</w:t>
      </w:r>
      <w:r>
        <w:rPr>
          <w:rFonts w:asciiTheme="minorHAnsi" w:hAnsiTheme="minorHAnsi" w:cs="Arial"/>
        </w:rPr>
        <w:t xml:space="preserve"> maintains strict compliance with USP chapter 797 mandates.</w:t>
      </w:r>
    </w:p>
    <w:p w14:paraId="514C828C" w14:textId="77777777" w:rsidR="00A94591" w:rsidRDefault="00A94591" w:rsidP="00221329">
      <w:pPr>
        <w:ind w:right="360"/>
        <w:rPr>
          <w:rFonts w:asciiTheme="minorHAnsi" w:hAnsiTheme="minorHAnsi" w:cs="Arial"/>
          <w:szCs w:val="24"/>
        </w:rPr>
      </w:pPr>
    </w:p>
    <w:p w14:paraId="7F390CBF" w14:textId="77777777" w:rsidR="00285091" w:rsidRDefault="0043583A" w:rsidP="00285091">
      <w:pPr>
        <w:ind w:right="360"/>
        <w:rPr>
          <w:rFonts w:asciiTheme="minorHAnsi" w:hAnsiTheme="minorHAnsi" w:cs="Arial"/>
          <w:szCs w:val="24"/>
        </w:rPr>
      </w:pPr>
      <w:r w:rsidRPr="00FF36D7">
        <w:rPr>
          <w:rFonts w:asciiTheme="minorHAnsi" w:hAnsiTheme="minorHAnsi" w:cs="Arial"/>
          <w:b/>
          <w:szCs w:val="24"/>
          <w:u w:val="single"/>
        </w:rPr>
        <w:t>Preventing and managing complications from intravitreal injections of TA</w:t>
      </w:r>
    </w:p>
    <w:p w14:paraId="4AAAFE10" w14:textId="77777777" w:rsidR="0043583A" w:rsidRPr="00285091" w:rsidRDefault="0043583A" w:rsidP="00285091">
      <w:pPr>
        <w:ind w:right="360"/>
        <w:rPr>
          <w:rFonts w:asciiTheme="minorHAnsi" w:hAnsiTheme="minorHAnsi" w:cs="Arial"/>
        </w:rPr>
      </w:pPr>
      <w:r w:rsidRPr="00285091">
        <w:rPr>
          <w:rFonts w:asciiTheme="minorHAnsi" w:hAnsiTheme="minorHAnsi" w:cs="Arial"/>
        </w:rPr>
        <w:t>An expert panel reviewed published studies of intravitreal injection technique and monitoring</w:t>
      </w:r>
      <w:r w:rsidR="00285091">
        <w:rPr>
          <w:rFonts w:asciiTheme="minorHAnsi" w:hAnsiTheme="minorHAnsi" w:cs="Arial"/>
        </w:rPr>
        <w:t>,</w:t>
      </w:r>
      <w:r w:rsidRPr="00285091">
        <w:rPr>
          <w:rFonts w:asciiTheme="minorHAnsi" w:hAnsiTheme="minorHAnsi" w:cs="Arial"/>
        </w:rPr>
        <w:t xml:space="preserve"> and released guidelines in 2014.</w:t>
      </w:r>
      <w:r w:rsidRPr="00285091">
        <w:rPr>
          <w:rStyle w:val="FootnoteReference"/>
          <w:rFonts w:asciiTheme="minorHAnsi" w:hAnsiTheme="minorHAnsi" w:cs="Arial"/>
        </w:rPr>
        <w:footnoteReference w:id="4"/>
      </w:r>
      <w:r w:rsidRPr="00285091">
        <w:rPr>
          <w:rFonts w:asciiTheme="minorHAnsi" w:hAnsiTheme="minorHAnsi" w:cs="Arial"/>
        </w:rPr>
        <w:t xml:space="preserve"> Please see the article for full details.</w:t>
      </w:r>
    </w:p>
    <w:p w14:paraId="1CE17D43" w14:textId="77777777" w:rsidR="0043583A" w:rsidRPr="00285091" w:rsidRDefault="0043583A" w:rsidP="0043583A">
      <w:pPr>
        <w:widowControl w:val="0"/>
        <w:numPr>
          <w:ilvl w:val="0"/>
          <w:numId w:val="2"/>
        </w:numPr>
        <w:rPr>
          <w:rFonts w:asciiTheme="minorHAnsi" w:hAnsiTheme="minorHAnsi" w:cs="Arial"/>
        </w:rPr>
      </w:pPr>
      <w:r w:rsidRPr="00285091">
        <w:rPr>
          <w:rFonts w:asciiTheme="minorHAnsi" w:hAnsiTheme="minorHAnsi" w:cs="Arial"/>
          <w:u w:val="single"/>
        </w:rPr>
        <w:t>External infections</w:t>
      </w:r>
    </w:p>
    <w:p w14:paraId="118F37D4" w14:textId="77777777" w:rsidR="0043583A" w:rsidRPr="00285091" w:rsidRDefault="0043583A" w:rsidP="0043583A">
      <w:pPr>
        <w:widowControl w:val="0"/>
        <w:numPr>
          <w:ilvl w:val="1"/>
          <w:numId w:val="2"/>
        </w:numPr>
        <w:rPr>
          <w:rFonts w:asciiTheme="minorHAnsi" w:hAnsiTheme="minorHAnsi" w:cs="Arial"/>
        </w:rPr>
      </w:pPr>
      <w:r w:rsidRPr="00285091">
        <w:rPr>
          <w:rFonts w:asciiTheme="minorHAnsi" w:hAnsiTheme="minorHAnsi" w:cs="Arial"/>
        </w:rPr>
        <w:t>Postpone injection until active external infections, including blepharitis, have been treated and cleared, unless the benefits of injection clearly outweigh the risk of endophthalmitis.</w:t>
      </w:r>
    </w:p>
    <w:p w14:paraId="3E5D743E" w14:textId="77777777" w:rsidR="0043583A" w:rsidRPr="00285091" w:rsidRDefault="0043583A" w:rsidP="0043583A">
      <w:pPr>
        <w:widowControl w:val="0"/>
        <w:numPr>
          <w:ilvl w:val="0"/>
          <w:numId w:val="2"/>
        </w:numPr>
        <w:rPr>
          <w:rFonts w:asciiTheme="minorHAnsi" w:hAnsiTheme="minorHAnsi" w:cs="Arial"/>
        </w:rPr>
      </w:pPr>
      <w:r w:rsidRPr="00285091">
        <w:rPr>
          <w:rFonts w:asciiTheme="minorHAnsi" w:hAnsiTheme="minorHAnsi" w:cs="Arial"/>
          <w:u w:val="single"/>
        </w:rPr>
        <w:t>Povidone-iodine</w:t>
      </w:r>
    </w:p>
    <w:p w14:paraId="22413927" w14:textId="77777777" w:rsidR="0043583A" w:rsidRPr="00285091" w:rsidRDefault="0043583A" w:rsidP="0043583A">
      <w:pPr>
        <w:widowControl w:val="0"/>
        <w:numPr>
          <w:ilvl w:val="1"/>
          <w:numId w:val="2"/>
        </w:numPr>
        <w:rPr>
          <w:rFonts w:asciiTheme="minorHAnsi" w:hAnsiTheme="minorHAnsi" w:cs="Arial"/>
        </w:rPr>
      </w:pPr>
      <w:r w:rsidRPr="00285091">
        <w:rPr>
          <w:rFonts w:asciiTheme="minorHAnsi" w:hAnsiTheme="minorHAnsi" w:cs="Arial"/>
        </w:rPr>
        <w:t>Ensure that povidone-iodine (5</w:t>
      </w:r>
      <w:r w:rsidR="00732B13">
        <w:rPr>
          <w:rFonts w:asciiTheme="minorHAnsi" w:hAnsiTheme="minorHAnsi" w:cs="Arial"/>
        </w:rPr>
        <w:t>%</w:t>
      </w:r>
      <w:r w:rsidRPr="00285091">
        <w:rPr>
          <w:rFonts w:asciiTheme="minorHAnsi" w:hAnsiTheme="minorHAnsi" w:cs="Arial"/>
        </w:rPr>
        <w:t xml:space="preserve">-10%) is the last agent applied to the intended injection site before injection. </w:t>
      </w:r>
    </w:p>
    <w:p w14:paraId="3B3A63B6" w14:textId="77777777" w:rsidR="0043583A" w:rsidRPr="00285091" w:rsidRDefault="0043583A" w:rsidP="0043583A">
      <w:pPr>
        <w:widowControl w:val="0"/>
        <w:numPr>
          <w:ilvl w:val="2"/>
          <w:numId w:val="2"/>
        </w:numPr>
        <w:rPr>
          <w:rFonts w:asciiTheme="minorHAnsi" w:hAnsiTheme="minorHAnsi" w:cs="Arial"/>
        </w:rPr>
      </w:pPr>
      <w:r w:rsidRPr="00285091">
        <w:rPr>
          <w:rFonts w:asciiTheme="minorHAnsi" w:hAnsiTheme="minorHAnsi" w:cs="Arial"/>
        </w:rPr>
        <w:t xml:space="preserve">If a gel anesthetic is used, apply povidone-iodine both before and after application of the gel. </w:t>
      </w:r>
    </w:p>
    <w:p w14:paraId="4A100F17" w14:textId="77777777" w:rsidR="0043583A" w:rsidRPr="00285091" w:rsidRDefault="0043583A" w:rsidP="0043583A">
      <w:pPr>
        <w:widowControl w:val="0"/>
        <w:numPr>
          <w:ilvl w:val="1"/>
          <w:numId w:val="2"/>
        </w:numPr>
        <w:rPr>
          <w:rFonts w:asciiTheme="minorHAnsi" w:hAnsiTheme="minorHAnsi" w:cs="Arial"/>
        </w:rPr>
      </w:pPr>
      <w:r w:rsidRPr="00285091">
        <w:rPr>
          <w:rFonts w:asciiTheme="minorHAnsi" w:hAnsiTheme="minorHAnsi" w:cs="Arial"/>
        </w:rPr>
        <w:t>Povidone-iodine may also be applied to the eyelids, including the eyelid margins and eyelashes.</w:t>
      </w:r>
    </w:p>
    <w:p w14:paraId="651FB441" w14:textId="77777777" w:rsidR="0043583A" w:rsidRPr="00285091" w:rsidRDefault="0043583A" w:rsidP="0043583A">
      <w:pPr>
        <w:widowControl w:val="0"/>
        <w:numPr>
          <w:ilvl w:val="2"/>
          <w:numId w:val="2"/>
        </w:numPr>
        <w:rPr>
          <w:rFonts w:asciiTheme="minorHAnsi" w:hAnsiTheme="minorHAnsi" w:cs="Arial"/>
        </w:rPr>
      </w:pPr>
      <w:r w:rsidRPr="00285091">
        <w:rPr>
          <w:rFonts w:asciiTheme="minorHAnsi" w:hAnsiTheme="minorHAnsi" w:cs="Arial"/>
        </w:rPr>
        <w:t>Avoid eyelid scrubbing or expressing material from the meibomian glands.</w:t>
      </w:r>
    </w:p>
    <w:p w14:paraId="0C5305B9" w14:textId="77777777" w:rsidR="0043583A" w:rsidRPr="00285091" w:rsidRDefault="0043583A" w:rsidP="00285091">
      <w:pPr>
        <w:widowControl w:val="0"/>
        <w:numPr>
          <w:ilvl w:val="1"/>
          <w:numId w:val="2"/>
        </w:numPr>
        <w:rPr>
          <w:rFonts w:asciiTheme="minorHAnsi" w:hAnsiTheme="minorHAnsi" w:cs="Arial"/>
        </w:rPr>
      </w:pPr>
      <w:r w:rsidRPr="00285091">
        <w:rPr>
          <w:rFonts w:asciiTheme="minorHAnsi" w:hAnsiTheme="minorHAnsi" w:cs="Arial"/>
        </w:rPr>
        <w:t>Prevent contact of the eyelashes and eyelid margins with both the injection site and the injection needle after final application of povidone-iodine and especially during the actual injection. Use either a speculum or other technique, such as manual lid retraction.</w:t>
      </w:r>
    </w:p>
    <w:p w14:paraId="680F3118" w14:textId="77777777" w:rsidR="0043583A" w:rsidRPr="00285091" w:rsidRDefault="0043583A" w:rsidP="0043583A">
      <w:pPr>
        <w:widowControl w:val="0"/>
        <w:numPr>
          <w:ilvl w:val="0"/>
          <w:numId w:val="2"/>
        </w:numPr>
        <w:rPr>
          <w:rFonts w:asciiTheme="minorHAnsi" w:hAnsiTheme="minorHAnsi" w:cs="Arial"/>
        </w:rPr>
      </w:pPr>
      <w:r w:rsidRPr="00285091">
        <w:rPr>
          <w:rFonts w:asciiTheme="minorHAnsi" w:hAnsiTheme="minorHAnsi" w:cs="Arial"/>
          <w:u w:val="single"/>
        </w:rPr>
        <w:t>Aerosolized droplets</w:t>
      </w:r>
    </w:p>
    <w:p w14:paraId="29DB49F9" w14:textId="77777777" w:rsidR="0043583A" w:rsidRPr="00285091" w:rsidRDefault="0043583A" w:rsidP="0043583A">
      <w:pPr>
        <w:widowControl w:val="0"/>
        <w:numPr>
          <w:ilvl w:val="1"/>
          <w:numId w:val="2"/>
        </w:numPr>
        <w:rPr>
          <w:rFonts w:asciiTheme="minorHAnsi" w:hAnsiTheme="minorHAnsi" w:cs="Arial"/>
        </w:rPr>
      </w:pPr>
      <w:r w:rsidRPr="00285091">
        <w:rPr>
          <w:rFonts w:asciiTheme="minorHAnsi" w:hAnsiTheme="minorHAnsi" w:cs="Arial"/>
        </w:rPr>
        <w:t xml:space="preserve">Reduce the spread of aerosolized droplets during the injection preparation and procedure. </w:t>
      </w:r>
    </w:p>
    <w:p w14:paraId="5CB1B0A5" w14:textId="77777777" w:rsidR="0043583A" w:rsidRPr="00285091" w:rsidRDefault="0043583A" w:rsidP="0043583A">
      <w:pPr>
        <w:widowControl w:val="0"/>
        <w:numPr>
          <w:ilvl w:val="1"/>
          <w:numId w:val="2"/>
        </w:numPr>
        <w:rPr>
          <w:rFonts w:asciiTheme="minorHAnsi" w:hAnsiTheme="minorHAnsi" w:cs="Arial"/>
        </w:rPr>
      </w:pPr>
      <w:r w:rsidRPr="00285091">
        <w:rPr>
          <w:rFonts w:asciiTheme="minorHAnsi" w:hAnsiTheme="minorHAnsi" w:cs="Arial"/>
        </w:rPr>
        <w:t>Use a surgical mask or minimize speaking by the physician, assistants, and patients.</w:t>
      </w:r>
    </w:p>
    <w:p w14:paraId="27D285F5" w14:textId="77777777" w:rsidR="0043583A" w:rsidRPr="00285091" w:rsidRDefault="0043583A" w:rsidP="0043583A">
      <w:pPr>
        <w:widowControl w:val="0"/>
        <w:numPr>
          <w:ilvl w:val="0"/>
          <w:numId w:val="2"/>
        </w:numPr>
        <w:rPr>
          <w:rFonts w:asciiTheme="minorHAnsi" w:hAnsiTheme="minorHAnsi" w:cs="Arial"/>
        </w:rPr>
      </w:pPr>
      <w:r w:rsidRPr="00285091">
        <w:rPr>
          <w:rFonts w:asciiTheme="minorHAnsi" w:hAnsiTheme="minorHAnsi" w:cs="Arial"/>
          <w:u w:val="single"/>
        </w:rPr>
        <w:t>Bilateral injections on the same day</w:t>
      </w:r>
    </w:p>
    <w:p w14:paraId="5269BD94" w14:textId="77777777" w:rsidR="0043583A" w:rsidRPr="00285091" w:rsidRDefault="0043583A" w:rsidP="0043583A">
      <w:pPr>
        <w:widowControl w:val="0"/>
        <w:numPr>
          <w:ilvl w:val="1"/>
          <w:numId w:val="2"/>
        </w:numPr>
        <w:rPr>
          <w:rFonts w:asciiTheme="minorHAnsi" w:hAnsiTheme="minorHAnsi" w:cs="Arial"/>
        </w:rPr>
      </w:pPr>
      <w:r w:rsidRPr="00285091">
        <w:rPr>
          <w:rFonts w:asciiTheme="minorHAnsi" w:hAnsiTheme="minorHAnsi" w:cs="Arial"/>
        </w:rPr>
        <w:t xml:space="preserve">Exercise caution when performing bilateral injections on the same day. </w:t>
      </w:r>
    </w:p>
    <w:p w14:paraId="3D9AABBC" w14:textId="77777777" w:rsidR="0043583A" w:rsidRPr="00285091" w:rsidRDefault="0043583A" w:rsidP="0043583A">
      <w:pPr>
        <w:widowControl w:val="0"/>
        <w:numPr>
          <w:ilvl w:val="1"/>
          <w:numId w:val="2"/>
        </w:numPr>
        <w:rPr>
          <w:rFonts w:asciiTheme="minorHAnsi" w:hAnsiTheme="minorHAnsi" w:cs="Arial"/>
        </w:rPr>
      </w:pPr>
      <w:r w:rsidRPr="00285091">
        <w:rPr>
          <w:rFonts w:asciiTheme="minorHAnsi" w:hAnsiTheme="minorHAnsi" w:cs="Arial"/>
        </w:rPr>
        <w:t xml:space="preserve">Consider the injection for each eye as a separate procedure. </w:t>
      </w:r>
    </w:p>
    <w:p w14:paraId="71BB2462" w14:textId="77777777" w:rsidR="0043583A" w:rsidRPr="00285091" w:rsidRDefault="0043583A" w:rsidP="0043583A">
      <w:pPr>
        <w:widowControl w:val="0"/>
        <w:numPr>
          <w:ilvl w:val="1"/>
          <w:numId w:val="2"/>
        </w:numPr>
        <w:rPr>
          <w:rFonts w:asciiTheme="minorHAnsi" w:hAnsiTheme="minorHAnsi" w:cs="Arial"/>
        </w:rPr>
      </w:pPr>
      <w:r w:rsidRPr="00285091">
        <w:rPr>
          <w:rFonts w:asciiTheme="minorHAnsi" w:hAnsiTheme="minorHAnsi" w:cs="Arial"/>
        </w:rPr>
        <w:t xml:space="preserve">Use separate site preparation, individual syringes, needles, etc. </w:t>
      </w:r>
    </w:p>
    <w:p w14:paraId="336FC2AE" w14:textId="77777777" w:rsidR="0043583A" w:rsidRPr="00285091" w:rsidRDefault="0043583A" w:rsidP="0043583A">
      <w:pPr>
        <w:widowControl w:val="0"/>
        <w:numPr>
          <w:ilvl w:val="1"/>
          <w:numId w:val="2"/>
        </w:numPr>
        <w:rPr>
          <w:rFonts w:asciiTheme="minorHAnsi" w:hAnsiTheme="minorHAnsi" w:cs="Arial"/>
        </w:rPr>
      </w:pPr>
      <w:r w:rsidRPr="00285091">
        <w:rPr>
          <w:rFonts w:asciiTheme="minorHAnsi" w:hAnsiTheme="minorHAnsi" w:cs="Arial"/>
        </w:rPr>
        <w:t>Use a different medication batch if using a compounded medication such as Avastin.</w:t>
      </w:r>
    </w:p>
    <w:p w14:paraId="618C6972" w14:textId="77777777" w:rsidR="0043583A" w:rsidRPr="00285091" w:rsidRDefault="0043583A" w:rsidP="0043583A">
      <w:pPr>
        <w:widowControl w:val="0"/>
        <w:numPr>
          <w:ilvl w:val="0"/>
          <w:numId w:val="2"/>
        </w:numPr>
        <w:rPr>
          <w:rFonts w:asciiTheme="minorHAnsi" w:hAnsiTheme="minorHAnsi" w:cs="Arial"/>
          <w:u w:val="single"/>
        </w:rPr>
      </w:pPr>
      <w:r w:rsidRPr="00285091">
        <w:rPr>
          <w:rFonts w:asciiTheme="minorHAnsi" w:hAnsiTheme="minorHAnsi" w:cs="Arial"/>
          <w:u w:val="single"/>
        </w:rPr>
        <w:t xml:space="preserve">Patient </w:t>
      </w:r>
      <w:r w:rsidR="00DD0CA3">
        <w:rPr>
          <w:rFonts w:asciiTheme="minorHAnsi" w:hAnsiTheme="minorHAnsi" w:cs="Arial"/>
          <w:u w:val="single"/>
        </w:rPr>
        <w:t>monitoring and education</w:t>
      </w:r>
    </w:p>
    <w:p w14:paraId="62B62B41" w14:textId="77777777" w:rsidR="0043583A" w:rsidRPr="00285091" w:rsidRDefault="0043583A" w:rsidP="0043583A">
      <w:pPr>
        <w:widowControl w:val="0"/>
        <w:numPr>
          <w:ilvl w:val="1"/>
          <w:numId w:val="2"/>
        </w:numPr>
        <w:rPr>
          <w:rFonts w:asciiTheme="minorHAnsi" w:hAnsiTheme="minorHAnsi" w:cs="Arial"/>
        </w:rPr>
      </w:pPr>
      <w:r w:rsidRPr="00285091">
        <w:rPr>
          <w:rFonts w:asciiTheme="minorHAnsi" w:hAnsiTheme="minorHAnsi" w:cs="Arial"/>
        </w:rPr>
        <w:t xml:space="preserve">Monitor patients for symptoms suggestive of </w:t>
      </w:r>
      <w:r w:rsidR="00291B65">
        <w:rPr>
          <w:rFonts w:asciiTheme="minorHAnsi" w:hAnsiTheme="minorHAnsi" w:cs="Arial"/>
        </w:rPr>
        <w:t xml:space="preserve">elevated IOP and </w:t>
      </w:r>
      <w:r w:rsidRPr="00285091">
        <w:rPr>
          <w:rFonts w:asciiTheme="minorHAnsi" w:hAnsiTheme="minorHAnsi" w:cs="Arial"/>
        </w:rPr>
        <w:t>endophthalmitis.</w:t>
      </w:r>
    </w:p>
    <w:p w14:paraId="01A64B96" w14:textId="77777777" w:rsidR="0043583A" w:rsidRPr="00285091" w:rsidRDefault="0043583A" w:rsidP="0043583A">
      <w:pPr>
        <w:widowControl w:val="0"/>
        <w:numPr>
          <w:ilvl w:val="1"/>
          <w:numId w:val="2"/>
        </w:numPr>
        <w:rPr>
          <w:rFonts w:asciiTheme="minorHAnsi" w:hAnsiTheme="minorHAnsi" w:cs="Arial"/>
        </w:rPr>
      </w:pPr>
      <w:r w:rsidRPr="00285091">
        <w:rPr>
          <w:rFonts w:asciiTheme="minorHAnsi" w:hAnsiTheme="minorHAnsi" w:cs="Arial"/>
        </w:rPr>
        <w:t>Instruct patients to contact you immediately if the eye becomes red, sensitive to light, painful, or develops a change in vision. Consider giving these instructions in writing.</w:t>
      </w:r>
    </w:p>
    <w:p w14:paraId="63AE6D57" w14:textId="77777777" w:rsidR="00285091" w:rsidRDefault="00285091" w:rsidP="00221329">
      <w:pPr>
        <w:ind w:right="360"/>
        <w:rPr>
          <w:rFonts w:asciiTheme="minorHAnsi" w:hAnsiTheme="minorHAnsi" w:cs="Arial"/>
          <w:szCs w:val="24"/>
        </w:rPr>
      </w:pPr>
    </w:p>
    <w:p w14:paraId="35A5971F" w14:textId="77777777" w:rsidR="00291B65" w:rsidRPr="00A94591" w:rsidRDefault="00291B65" w:rsidP="00221329">
      <w:pPr>
        <w:ind w:right="360"/>
        <w:rPr>
          <w:rFonts w:asciiTheme="minorHAnsi" w:hAnsiTheme="minorHAnsi" w:cs="Arial"/>
          <w:szCs w:val="24"/>
        </w:rPr>
      </w:pPr>
    </w:p>
    <w:p w14:paraId="2CA35083" w14:textId="77777777" w:rsidR="00DE7E61" w:rsidRPr="00FF36D7" w:rsidRDefault="00DE7E61" w:rsidP="00285091">
      <w:pPr>
        <w:widowControl w:val="0"/>
        <w:rPr>
          <w:rFonts w:asciiTheme="minorHAnsi" w:hAnsiTheme="minorHAnsi" w:cs="Arial"/>
          <w:b/>
          <w:spacing w:val="-2"/>
          <w:szCs w:val="24"/>
          <w:u w:val="single"/>
        </w:rPr>
      </w:pPr>
      <w:r w:rsidRPr="00FF36D7">
        <w:rPr>
          <w:rFonts w:asciiTheme="minorHAnsi" w:hAnsiTheme="minorHAnsi" w:cs="Arial"/>
          <w:b/>
          <w:spacing w:val="-2"/>
          <w:szCs w:val="24"/>
          <w:u w:val="single"/>
        </w:rPr>
        <w:t>Informed consent discussion and documentation</w:t>
      </w:r>
    </w:p>
    <w:p w14:paraId="199D4E77" w14:textId="467262CA" w:rsidR="00086237" w:rsidRDefault="00DE7E61" w:rsidP="00086237">
      <w:pPr>
        <w:widowControl w:val="0"/>
        <w:numPr>
          <w:ilvl w:val="0"/>
          <w:numId w:val="1"/>
        </w:numPr>
        <w:rPr>
          <w:rFonts w:asciiTheme="minorHAnsi" w:hAnsiTheme="minorHAnsi" w:cs="Arial"/>
          <w:spacing w:val="-2"/>
          <w:szCs w:val="24"/>
        </w:rPr>
      </w:pPr>
      <w:r w:rsidRPr="00FF36D7">
        <w:rPr>
          <w:rFonts w:asciiTheme="minorHAnsi" w:hAnsiTheme="minorHAnsi" w:cs="Arial"/>
          <w:spacing w:val="-2"/>
          <w:szCs w:val="24"/>
        </w:rPr>
        <w:t xml:space="preserve">Inform the patient of the known risks associated with the injection technique as well as the medication </w:t>
      </w:r>
      <w:r w:rsidR="00086237">
        <w:rPr>
          <w:rFonts w:asciiTheme="minorHAnsi" w:hAnsiTheme="minorHAnsi" w:cs="Arial"/>
          <w:spacing w:val="-2"/>
          <w:szCs w:val="24"/>
        </w:rPr>
        <w:t>(</w:t>
      </w:r>
      <w:r w:rsidR="00FB0BDB">
        <w:rPr>
          <w:rFonts w:asciiTheme="minorHAnsi" w:hAnsiTheme="minorHAnsi" w:cs="Arial"/>
          <w:spacing w:val="-2"/>
          <w:szCs w:val="24"/>
        </w:rPr>
        <w:t xml:space="preserve">please see the </w:t>
      </w:r>
      <w:r w:rsidR="00086237">
        <w:rPr>
          <w:rFonts w:asciiTheme="minorHAnsi" w:hAnsiTheme="minorHAnsi" w:cs="Arial"/>
          <w:spacing w:val="-2"/>
          <w:szCs w:val="24"/>
        </w:rPr>
        <w:t xml:space="preserve">sample consent forms for </w:t>
      </w:r>
      <w:hyperlink r:id="rId9" w:history="1">
        <w:r w:rsidR="00086237">
          <w:rPr>
            <w:rStyle w:val="Hyperlink"/>
            <w:rFonts w:asciiTheme="minorHAnsi" w:hAnsiTheme="minorHAnsi" w:cs="Arial"/>
            <w:spacing w:val="-2"/>
            <w:szCs w:val="24"/>
          </w:rPr>
          <w:t>Kenalog</w:t>
        </w:r>
      </w:hyperlink>
      <w:r w:rsidR="00086237">
        <w:rPr>
          <w:rFonts w:asciiTheme="minorHAnsi" w:hAnsiTheme="minorHAnsi" w:cs="Arial"/>
          <w:spacing w:val="-2"/>
          <w:szCs w:val="24"/>
        </w:rPr>
        <w:t xml:space="preserve"> and </w:t>
      </w:r>
      <w:hyperlink r:id="rId10" w:history="1">
        <w:r w:rsidR="00086237">
          <w:rPr>
            <w:rStyle w:val="Hyperlink"/>
            <w:rFonts w:asciiTheme="minorHAnsi" w:hAnsiTheme="minorHAnsi" w:cs="Arial"/>
            <w:spacing w:val="-2"/>
            <w:szCs w:val="24"/>
          </w:rPr>
          <w:t>Triesence</w:t>
        </w:r>
      </w:hyperlink>
      <w:r w:rsidR="00FB0BDB">
        <w:rPr>
          <w:rFonts w:asciiTheme="minorHAnsi" w:hAnsiTheme="minorHAnsi" w:cs="Arial"/>
          <w:spacing w:val="-2"/>
          <w:szCs w:val="24"/>
        </w:rPr>
        <w:t xml:space="preserve">). </w:t>
      </w:r>
    </w:p>
    <w:p w14:paraId="13CC8B49" w14:textId="2E5697B4" w:rsidR="00DE7E61" w:rsidRDefault="00DE7E61" w:rsidP="00DE7E61">
      <w:pPr>
        <w:widowControl w:val="0"/>
        <w:numPr>
          <w:ilvl w:val="0"/>
          <w:numId w:val="1"/>
        </w:numPr>
        <w:rPr>
          <w:rFonts w:asciiTheme="minorHAnsi" w:hAnsiTheme="minorHAnsi" w:cs="Arial"/>
          <w:spacing w:val="-2"/>
          <w:szCs w:val="24"/>
        </w:rPr>
      </w:pPr>
      <w:r w:rsidRPr="00FF36D7">
        <w:rPr>
          <w:rFonts w:asciiTheme="minorHAnsi" w:hAnsiTheme="minorHAnsi" w:cs="Arial"/>
          <w:spacing w:val="-2"/>
          <w:szCs w:val="24"/>
        </w:rPr>
        <w:t xml:space="preserve">Forewarn patients at particular risk for specific </w:t>
      </w:r>
      <w:r w:rsidR="00695D90" w:rsidRPr="00FF36D7">
        <w:rPr>
          <w:rFonts w:asciiTheme="minorHAnsi" w:hAnsiTheme="minorHAnsi" w:cs="Arial"/>
          <w:spacing w:val="-2"/>
          <w:szCs w:val="24"/>
        </w:rPr>
        <w:t>complications e.g.</w:t>
      </w:r>
      <w:r w:rsidRPr="00FF36D7">
        <w:rPr>
          <w:rFonts w:asciiTheme="minorHAnsi" w:hAnsiTheme="minorHAnsi" w:cs="Arial"/>
          <w:spacing w:val="-2"/>
          <w:szCs w:val="24"/>
        </w:rPr>
        <w:t xml:space="preserve">, increased risk of infection in diabetics, increased risk of elevated IOP and worsening of glaucoma in patients who are </w:t>
      </w:r>
      <w:r w:rsidRPr="00FF36D7">
        <w:rPr>
          <w:rFonts w:asciiTheme="minorHAnsi" w:hAnsiTheme="minorHAnsi" w:cs="Arial"/>
          <w:spacing w:val="-2"/>
          <w:szCs w:val="24"/>
        </w:rPr>
        <w:lastRenderedPageBreak/>
        <w:t>steroid-responders or who have glaucoma.</w:t>
      </w:r>
    </w:p>
    <w:p w14:paraId="29083428" w14:textId="33CC09A8" w:rsidR="00DE7E61" w:rsidRPr="00695D90" w:rsidRDefault="00DE7E61" w:rsidP="00695D90">
      <w:pPr>
        <w:pStyle w:val="ListParagraph"/>
        <w:widowControl w:val="0"/>
        <w:numPr>
          <w:ilvl w:val="0"/>
          <w:numId w:val="1"/>
        </w:numPr>
        <w:rPr>
          <w:rFonts w:asciiTheme="minorHAnsi" w:hAnsiTheme="minorHAnsi" w:cs="Arial"/>
          <w:spacing w:val="-2"/>
          <w:szCs w:val="24"/>
        </w:rPr>
      </w:pPr>
      <w:r w:rsidRPr="00695D90">
        <w:rPr>
          <w:rFonts w:asciiTheme="minorHAnsi" w:hAnsiTheme="minorHAnsi" w:cs="Arial"/>
          <w:szCs w:val="24"/>
        </w:rPr>
        <w:t>Triesence</w:t>
      </w:r>
      <w:r w:rsidRPr="00695D90">
        <w:rPr>
          <w:rFonts w:asciiTheme="minorHAnsi" w:hAnsiTheme="minorHAnsi" w:cs="Arial"/>
          <w:szCs w:val="24"/>
          <w:vertAlign w:val="superscript"/>
        </w:rPr>
        <w:t>TM</w:t>
      </w:r>
      <w:r w:rsidR="006A1FE4" w:rsidRPr="00695D90">
        <w:rPr>
          <w:rFonts w:asciiTheme="minorHAnsi" w:hAnsiTheme="minorHAnsi" w:cs="Arial"/>
          <w:szCs w:val="24"/>
        </w:rPr>
        <w:t xml:space="preserve"> </w:t>
      </w:r>
      <w:r w:rsidR="00DD0CA3" w:rsidRPr="00695D90">
        <w:rPr>
          <w:rFonts w:asciiTheme="minorHAnsi" w:hAnsiTheme="minorHAnsi" w:cs="Arial"/>
          <w:szCs w:val="24"/>
        </w:rPr>
        <w:t>off-label</w:t>
      </w:r>
    </w:p>
    <w:p w14:paraId="3AC5A4B2" w14:textId="77777777" w:rsidR="00DE7E61" w:rsidRPr="00FF36D7" w:rsidRDefault="00DE7E61" w:rsidP="00DD0CA3">
      <w:pPr>
        <w:widowControl w:val="0"/>
        <w:numPr>
          <w:ilvl w:val="1"/>
          <w:numId w:val="1"/>
        </w:numPr>
        <w:rPr>
          <w:rFonts w:asciiTheme="minorHAnsi" w:hAnsiTheme="minorHAnsi" w:cs="Arial"/>
          <w:spacing w:val="-2"/>
          <w:szCs w:val="24"/>
        </w:rPr>
      </w:pPr>
      <w:r w:rsidRPr="00FF36D7">
        <w:rPr>
          <w:rFonts w:asciiTheme="minorHAnsi" w:hAnsiTheme="minorHAnsi" w:cs="Arial"/>
          <w:spacing w:val="-2"/>
          <w:szCs w:val="24"/>
        </w:rPr>
        <w:t>Inform the patient that the drug was not approved for the condition they have, but that off-label use is a legal and necessary aspect of the practice of medicine.</w:t>
      </w:r>
    </w:p>
    <w:p w14:paraId="4B4C030D" w14:textId="77777777" w:rsidR="00DE7E61" w:rsidRPr="00FF36D7" w:rsidRDefault="00DE7E61" w:rsidP="00DD0CA3">
      <w:pPr>
        <w:widowControl w:val="0"/>
        <w:numPr>
          <w:ilvl w:val="0"/>
          <w:numId w:val="1"/>
        </w:numPr>
        <w:rPr>
          <w:rFonts w:asciiTheme="minorHAnsi" w:hAnsiTheme="minorHAnsi" w:cs="Arial"/>
          <w:spacing w:val="-2"/>
          <w:szCs w:val="24"/>
        </w:rPr>
      </w:pPr>
      <w:r w:rsidRPr="00FF36D7">
        <w:rPr>
          <w:rFonts w:asciiTheme="minorHAnsi" w:hAnsiTheme="minorHAnsi" w:cs="Arial"/>
          <w:spacing w:val="-2"/>
          <w:szCs w:val="24"/>
        </w:rPr>
        <w:t>Kenalog</w:t>
      </w:r>
      <w:r w:rsidR="006A1FE4" w:rsidRPr="00FF36D7">
        <w:rPr>
          <w:rFonts w:asciiTheme="minorHAnsi" w:hAnsiTheme="minorHAnsi" w:cs="Arial"/>
          <w:spacing w:val="-2"/>
          <w:szCs w:val="24"/>
          <w:vertAlign w:val="superscript"/>
        </w:rPr>
        <w:t xml:space="preserve"> TM</w:t>
      </w:r>
      <w:r w:rsidRPr="00FF36D7">
        <w:rPr>
          <w:rFonts w:asciiTheme="minorHAnsi" w:hAnsiTheme="minorHAnsi" w:cs="Arial"/>
          <w:spacing w:val="-2"/>
          <w:szCs w:val="24"/>
        </w:rPr>
        <w:t xml:space="preserve">  </w:t>
      </w:r>
      <w:r w:rsidR="00291B65">
        <w:rPr>
          <w:rFonts w:asciiTheme="minorHAnsi" w:hAnsiTheme="minorHAnsi" w:cs="Arial"/>
          <w:spacing w:val="-2"/>
          <w:szCs w:val="24"/>
        </w:rPr>
        <w:t>off-label</w:t>
      </w:r>
    </w:p>
    <w:p w14:paraId="3E1DE104" w14:textId="4DE912F7" w:rsidR="00DD0CA3" w:rsidRDefault="00695D90" w:rsidP="00DD0CA3">
      <w:pPr>
        <w:widowControl w:val="0"/>
        <w:numPr>
          <w:ilvl w:val="1"/>
          <w:numId w:val="1"/>
        </w:numPr>
        <w:rPr>
          <w:rFonts w:asciiTheme="minorHAnsi" w:hAnsiTheme="minorHAnsi" w:cs="Arial"/>
          <w:spacing w:val="-2"/>
          <w:szCs w:val="24"/>
        </w:rPr>
      </w:pPr>
      <w:r>
        <w:rPr>
          <w:rFonts w:asciiTheme="minorHAnsi" w:hAnsiTheme="minorHAnsi" w:cs="Arial"/>
          <w:spacing w:val="-2"/>
          <w:szCs w:val="24"/>
        </w:rPr>
        <w:t>Inform patients that Kenalog was not approved for intravitreal injection</w:t>
      </w:r>
      <w:r w:rsidR="009D7762">
        <w:rPr>
          <w:rFonts w:asciiTheme="minorHAnsi" w:hAnsiTheme="minorHAnsi" w:cs="Arial"/>
          <w:spacing w:val="-2"/>
          <w:szCs w:val="24"/>
        </w:rPr>
        <w:t>. Explain t</w:t>
      </w:r>
      <w:r w:rsidR="00DE7E61" w:rsidRPr="00FF36D7">
        <w:rPr>
          <w:rFonts w:asciiTheme="minorHAnsi" w:hAnsiTheme="minorHAnsi" w:cs="Arial"/>
          <w:spacing w:val="-2"/>
          <w:szCs w:val="24"/>
        </w:rPr>
        <w:t>hat the manufacturer has recommended against ophthalmic use, but that the FDA and attorneys have confirmed that ongoing use is legal as part of the “practice of medicine.</w:t>
      </w:r>
      <w:r w:rsidR="006A1FE4" w:rsidRPr="00FF36D7">
        <w:rPr>
          <w:rFonts w:asciiTheme="minorHAnsi" w:hAnsiTheme="minorHAnsi" w:cs="Arial"/>
          <w:spacing w:val="-2"/>
          <w:szCs w:val="24"/>
        </w:rPr>
        <w:t xml:space="preserve">” </w:t>
      </w:r>
    </w:p>
    <w:p w14:paraId="1F6378A8" w14:textId="08BFAFCC" w:rsidR="00DE7E61" w:rsidRDefault="009D7762" w:rsidP="00DD0CA3">
      <w:pPr>
        <w:widowControl w:val="0"/>
        <w:numPr>
          <w:ilvl w:val="1"/>
          <w:numId w:val="1"/>
        </w:numPr>
        <w:rPr>
          <w:rFonts w:asciiTheme="minorHAnsi" w:hAnsiTheme="minorHAnsi" w:cs="Arial"/>
          <w:spacing w:val="-2"/>
          <w:szCs w:val="24"/>
        </w:rPr>
      </w:pPr>
      <w:r>
        <w:rPr>
          <w:rFonts w:asciiTheme="minorHAnsi" w:hAnsiTheme="minorHAnsi" w:cs="Arial"/>
          <w:spacing w:val="-2"/>
          <w:szCs w:val="24"/>
        </w:rPr>
        <w:t>Explain if you are using Kenalog</w:t>
      </w:r>
      <w:r w:rsidR="00221329">
        <w:rPr>
          <w:rFonts w:asciiTheme="minorHAnsi" w:hAnsiTheme="minorHAnsi" w:cs="Arial"/>
          <w:spacing w:val="-2"/>
          <w:szCs w:val="24"/>
        </w:rPr>
        <w:t xml:space="preserve"> during an FDA-declared drug shortage.</w:t>
      </w:r>
    </w:p>
    <w:p w14:paraId="7200D78B" w14:textId="77777777" w:rsidR="00695D90" w:rsidRDefault="00695D90" w:rsidP="00695D90">
      <w:pPr>
        <w:widowControl w:val="0"/>
        <w:numPr>
          <w:ilvl w:val="1"/>
          <w:numId w:val="1"/>
        </w:numPr>
        <w:rPr>
          <w:rFonts w:asciiTheme="minorHAnsi" w:hAnsiTheme="minorHAnsi" w:cs="Arial"/>
          <w:spacing w:val="-2"/>
          <w:szCs w:val="24"/>
        </w:rPr>
      </w:pPr>
      <w:r w:rsidRPr="00FF36D7">
        <w:rPr>
          <w:rFonts w:asciiTheme="minorHAnsi" w:hAnsiTheme="minorHAnsi" w:cs="Arial"/>
          <w:spacing w:val="-2"/>
          <w:szCs w:val="24"/>
        </w:rPr>
        <w:t>Inform th</w:t>
      </w:r>
      <w:r>
        <w:rPr>
          <w:rFonts w:asciiTheme="minorHAnsi" w:hAnsiTheme="minorHAnsi" w:cs="Arial"/>
          <w:spacing w:val="-2"/>
          <w:szCs w:val="24"/>
        </w:rPr>
        <w:t xml:space="preserve">e patient that one form of TA has </w:t>
      </w:r>
      <w:r w:rsidRPr="00FF36D7">
        <w:rPr>
          <w:rFonts w:asciiTheme="minorHAnsi" w:hAnsiTheme="minorHAnsi" w:cs="Arial"/>
          <w:spacing w:val="-2"/>
          <w:szCs w:val="24"/>
        </w:rPr>
        <w:t>b</w:t>
      </w:r>
      <w:r>
        <w:rPr>
          <w:rFonts w:asciiTheme="minorHAnsi" w:hAnsiTheme="minorHAnsi" w:cs="Arial"/>
          <w:spacing w:val="-2"/>
          <w:szCs w:val="24"/>
        </w:rPr>
        <w:t xml:space="preserve">een approved for use in the eye. </w:t>
      </w:r>
    </w:p>
    <w:p w14:paraId="46188685" w14:textId="77777777" w:rsidR="009D7762" w:rsidRPr="009D7762" w:rsidRDefault="009D7762" w:rsidP="009D7762">
      <w:pPr>
        <w:ind w:left="360"/>
        <w:rPr>
          <w:rFonts w:asciiTheme="minorHAnsi" w:hAnsiTheme="minorHAnsi" w:cs="Arial"/>
        </w:rPr>
      </w:pPr>
    </w:p>
    <w:p w14:paraId="35ED6CB7" w14:textId="77777777" w:rsidR="00047B74" w:rsidRPr="00047B74" w:rsidRDefault="00047B74" w:rsidP="00047B74">
      <w:pPr>
        <w:rPr>
          <w:rFonts w:asciiTheme="minorHAnsi" w:hAnsiTheme="minorHAnsi" w:cs="Arial"/>
          <w:u w:val="single"/>
        </w:rPr>
      </w:pPr>
      <w:r w:rsidRPr="00047B74">
        <w:rPr>
          <w:rFonts w:asciiTheme="minorHAnsi" w:hAnsiTheme="minorHAnsi" w:cs="Arial"/>
          <w:u w:val="single"/>
        </w:rPr>
        <w:t>Treatment of both eyes on the same day</w:t>
      </w:r>
    </w:p>
    <w:p w14:paraId="70707E7F" w14:textId="77777777" w:rsidR="00047B74" w:rsidRPr="00047B74" w:rsidRDefault="00047B74" w:rsidP="00047B74">
      <w:pPr>
        <w:widowControl w:val="0"/>
        <w:numPr>
          <w:ilvl w:val="0"/>
          <w:numId w:val="2"/>
        </w:numPr>
        <w:rPr>
          <w:rFonts w:asciiTheme="minorHAnsi" w:hAnsiTheme="minorHAnsi" w:cs="Arial"/>
        </w:rPr>
      </w:pPr>
      <w:r w:rsidRPr="00047B74">
        <w:rPr>
          <w:rFonts w:asciiTheme="minorHAnsi" w:hAnsiTheme="minorHAnsi" w:cs="Arial"/>
        </w:rPr>
        <w:t>Document your decision-making process in the medical record.</w:t>
      </w:r>
    </w:p>
    <w:p w14:paraId="26B1BC0F" w14:textId="77777777" w:rsidR="00047B74" w:rsidRPr="00047B74" w:rsidRDefault="00047B74" w:rsidP="00047B74">
      <w:pPr>
        <w:widowControl w:val="0"/>
        <w:numPr>
          <w:ilvl w:val="0"/>
          <w:numId w:val="2"/>
        </w:numPr>
        <w:rPr>
          <w:rFonts w:asciiTheme="minorHAnsi" w:hAnsiTheme="minorHAnsi" w:cs="Arial"/>
        </w:rPr>
      </w:pPr>
      <w:r w:rsidRPr="00047B74">
        <w:rPr>
          <w:rFonts w:asciiTheme="minorHAnsi" w:hAnsiTheme="minorHAnsi" w:cs="Arial"/>
        </w:rPr>
        <w:t>Inform the patient of the possibility of vision-threatening complications in both eyes.</w:t>
      </w:r>
    </w:p>
    <w:p w14:paraId="0B8850E9" w14:textId="77777777" w:rsidR="00047B74" w:rsidRDefault="00047B74" w:rsidP="00047B74">
      <w:pPr>
        <w:widowControl w:val="0"/>
        <w:numPr>
          <w:ilvl w:val="0"/>
          <w:numId w:val="2"/>
        </w:numPr>
        <w:rPr>
          <w:rFonts w:asciiTheme="minorHAnsi" w:hAnsiTheme="minorHAnsi" w:cs="Arial"/>
        </w:rPr>
      </w:pPr>
      <w:r w:rsidRPr="00047B74">
        <w:rPr>
          <w:rFonts w:asciiTheme="minorHAnsi" w:hAnsiTheme="minorHAnsi" w:cs="Arial"/>
        </w:rPr>
        <w:t>Explain the measures you will take to reduce the risk of infection (i.e., you will use a new syringe, needle, etc.).</w:t>
      </w:r>
    </w:p>
    <w:p w14:paraId="0794BCBC" w14:textId="77777777" w:rsidR="00574622" w:rsidRPr="009D7762" w:rsidRDefault="00574622" w:rsidP="00574622">
      <w:pPr>
        <w:widowControl w:val="0"/>
        <w:numPr>
          <w:ilvl w:val="0"/>
          <w:numId w:val="2"/>
        </w:numPr>
        <w:rPr>
          <w:rFonts w:asciiTheme="minorHAnsi" w:hAnsiTheme="minorHAnsi" w:cs="Arial"/>
        </w:rPr>
      </w:pPr>
      <w:r>
        <w:rPr>
          <w:rFonts w:asciiTheme="minorHAnsi" w:hAnsiTheme="minorHAnsi" w:cs="Arial"/>
        </w:rPr>
        <w:t>Obtain consent for injections in both</w:t>
      </w:r>
      <w:r w:rsidRPr="009D7762">
        <w:rPr>
          <w:rFonts w:asciiTheme="minorHAnsi" w:hAnsiTheme="minorHAnsi" w:cs="Arial"/>
        </w:rPr>
        <w:t xml:space="preserve"> eye</w:t>
      </w:r>
      <w:r>
        <w:rPr>
          <w:rFonts w:asciiTheme="minorHAnsi" w:hAnsiTheme="minorHAnsi" w:cs="Arial"/>
        </w:rPr>
        <w:t>s on the same day</w:t>
      </w:r>
      <w:r w:rsidRPr="009D7762">
        <w:rPr>
          <w:rFonts w:asciiTheme="minorHAnsi" w:hAnsiTheme="minorHAnsi" w:cs="Arial"/>
        </w:rPr>
        <w:t>.</w:t>
      </w:r>
    </w:p>
    <w:p w14:paraId="701933B6" w14:textId="77777777" w:rsidR="00047B74" w:rsidRPr="00047B74" w:rsidRDefault="00047B74" w:rsidP="00047B74">
      <w:pPr>
        <w:widowControl w:val="0"/>
        <w:numPr>
          <w:ilvl w:val="0"/>
          <w:numId w:val="2"/>
        </w:numPr>
        <w:rPr>
          <w:rFonts w:asciiTheme="minorHAnsi" w:hAnsiTheme="minorHAnsi" w:cs="Arial"/>
        </w:rPr>
      </w:pPr>
      <w:r w:rsidRPr="00047B74">
        <w:rPr>
          <w:rFonts w:asciiTheme="minorHAnsi" w:hAnsiTheme="minorHAnsi" w:cs="Arial"/>
        </w:rPr>
        <w:t>Ensure that the patient has a ride home before administering the injections.</w:t>
      </w:r>
    </w:p>
    <w:p w14:paraId="11E1CEE5" w14:textId="77777777" w:rsidR="00047B74" w:rsidRPr="00B831D0" w:rsidRDefault="00047B74" w:rsidP="00047B74">
      <w:pPr>
        <w:ind w:left="360"/>
        <w:rPr>
          <w:rFonts w:ascii="Arial" w:hAnsi="Arial" w:cs="Arial"/>
        </w:rPr>
      </w:pPr>
    </w:p>
    <w:p w14:paraId="1ECAF1BF" w14:textId="77777777" w:rsidR="00047B74" w:rsidRPr="009D7762" w:rsidRDefault="00047B74" w:rsidP="00047B74">
      <w:pPr>
        <w:rPr>
          <w:rFonts w:asciiTheme="minorHAnsi" w:hAnsiTheme="minorHAnsi" w:cs="Arial"/>
          <w:u w:val="single"/>
        </w:rPr>
      </w:pPr>
      <w:r w:rsidRPr="009D7762">
        <w:rPr>
          <w:rFonts w:asciiTheme="minorHAnsi" w:hAnsiTheme="minorHAnsi" w:cs="Arial"/>
          <w:u w:val="single"/>
        </w:rPr>
        <w:t>Documentation</w:t>
      </w:r>
    </w:p>
    <w:p w14:paraId="6AA8FBF5" w14:textId="77777777" w:rsidR="00047B74" w:rsidRPr="009D7762" w:rsidRDefault="00047B74" w:rsidP="00047B74">
      <w:pPr>
        <w:widowControl w:val="0"/>
        <w:numPr>
          <w:ilvl w:val="0"/>
          <w:numId w:val="2"/>
        </w:numPr>
        <w:rPr>
          <w:rFonts w:asciiTheme="minorHAnsi" w:hAnsiTheme="minorHAnsi" w:cs="Arial"/>
        </w:rPr>
      </w:pPr>
      <w:r w:rsidRPr="009D7762">
        <w:rPr>
          <w:rFonts w:asciiTheme="minorHAnsi" w:hAnsiTheme="minorHAnsi" w:cs="Arial"/>
        </w:rPr>
        <w:t xml:space="preserve">Document the </w:t>
      </w:r>
      <w:r w:rsidR="009D7762">
        <w:rPr>
          <w:rFonts w:asciiTheme="minorHAnsi" w:hAnsiTheme="minorHAnsi" w:cs="Arial"/>
        </w:rPr>
        <w:t xml:space="preserve">diagnostic process as well as the </w:t>
      </w:r>
      <w:r w:rsidRPr="009D7762">
        <w:rPr>
          <w:rFonts w:asciiTheme="minorHAnsi" w:hAnsiTheme="minorHAnsi" w:cs="Arial"/>
        </w:rPr>
        <w:t>decision-making process that led to choosing the particular drug as the treatment for the patient. Note results of earlier attempts at treatment and the results of diagnostic tests.</w:t>
      </w:r>
    </w:p>
    <w:p w14:paraId="6FD6E275" w14:textId="77777777" w:rsidR="00047B74" w:rsidRPr="009D7762" w:rsidRDefault="00047B74" w:rsidP="00047B74">
      <w:pPr>
        <w:widowControl w:val="0"/>
        <w:numPr>
          <w:ilvl w:val="0"/>
          <w:numId w:val="2"/>
        </w:numPr>
        <w:rPr>
          <w:rFonts w:asciiTheme="minorHAnsi" w:hAnsiTheme="minorHAnsi" w:cs="Arial"/>
        </w:rPr>
      </w:pPr>
      <w:r w:rsidRPr="009D7762">
        <w:rPr>
          <w:rFonts w:asciiTheme="minorHAnsi" w:hAnsiTheme="minorHAnsi" w:cs="Arial"/>
        </w:rPr>
        <w:t>Evaluate and document the continued need, effectiveness, and safety of the medication prior to each injection.</w:t>
      </w:r>
    </w:p>
    <w:p w14:paraId="21BA9765" w14:textId="77777777" w:rsidR="009D7762" w:rsidRDefault="00047B74" w:rsidP="009D7762">
      <w:pPr>
        <w:widowControl w:val="0"/>
        <w:numPr>
          <w:ilvl w:val="0"/>
          <w:numId w:val="2"/>
        </w:numPr>
        <w:rPr>
          <w:rFonts w:asciiTheme="minorHAnsi" w:hAnsiTheme="minorHAnsi" w:cs="Arial"/>
        </w:rPr>
      </w:pPr>
      <w:r w:rsidRPr="009D7762">
        <w:rPr>
          <w:rFonts w:asciiTheme="minorHAnsi" w:hAnsiTheme="minorHAnsi" w:cs="Arial"/>
        </w:rPr>
        <w:t>Note the dose, lot number of the vial, any reactions to the injection and how they were handled, and the discharge and follow-up instructions.</w:t>
      </w:r>
    </w:p>
    <w:p w14:paraId="0E4EBEF5" w14:textId="77777777" w:rsidR="009D7762" w:rsidRDefault="00DE7E61" w:rsidP="009D7762">
      <w:pPr>
        <w:widowControl w:val="0"/>
        <w:numPr>
          <w:ilvl w:val="0"/>
          <w:numId w:val="2"/>
        </w:numPr>
        <w:rPr>
          <w:rFonts w:asciiTheme="minorHAnsi" w:hAnsiTheme="minorHAnsi" w:cs="Arial"/>
        </w:rPr>
      </w:pPr>
      <w:r w:rsidRPr="009D7762">
        <w:rPr>
          <w:rFonts w:asciiTheme="minorHAnsi" w:hAnsiTheme="minorHAnsi" w:cs="Arial"/>
          <w:spacing w:val="-2"/>
          <w:szCs w:val="24"/>
        </w:rPr>
        <w:t>Document efforts to monitor for and respond to complications.</w:t>
      </w:r>
    </w:p>
    <w:p w14:paraId="7E00787E" w14:textId="77777777" w:rsidR="009D7762" w:rsidRDefault="00DE7E61" w:rsidP="009D7762">
      <w:pPr>
        <w:widowControl w:val="0"/>
        <w:numPr>
          <w:ilvl w:val="0"/>
          <w:numId w:val="2"/>
        </w:numPr>
        <w:rPr>
          <w:rFonts w:asciiTheme="minorHAnsi" w:hAnsiTheme="minorHAnsi" w:cs="Arial"/>
        </w:rPr>
      </w:pPr>
      <w:r w:rsidRPr="009D7762">
        <w:rPr>
          <w:rFonts w:asciiTheme="minorHAnsi" w:hAnsiTheme="minorHAnsi" w:cs="Arial"/>
          <w:spacing w:val="-2"/>
          <w:szCs w:val="24"/>
        </w:rPr>
        <w:t>Document referrals to sub-specialists, and place a copy of the consultation letter in the medical record.</w:t>
      </w:r>
    </w:p>
    <w:p w14:paraId="731B8284" w14:textId="77777777" w:rsidR="00DE7E61" w:rsidRPr="009D7762" w:rsidRDefault="00DE7E61" w:rsidP="009D7762">
      <w:pPr>
        <w:widowControl w:val="0"/>
        <w:numPr>
          <w:ilvl w:val="0"/>
          <w:numId w:val="2"/>
        </w:numPr>
        <w:rPr>
          <w:rFonts w:asciiTheme="minorHAnsi" w:hAnsiTheme="minorHAnsi" w:cs="Arial"/>
        </w:rPr>
      </w:pPr>
      <w:r w:rsidRPr="009D7762">
        <w:rPr>
          <w:rFonts w:asciiTheme="minorHAnsi" w:hAnsiTheme="minorHAnsi" w:cs="Arial"/>
          <w:spacing w:val="-2"/>
          <w:szCs w:val="24"/>
        </w:rPr>
        <w:t>Document all communication to and from the patient, even if it occurs after a sub-specialist has taken over the care.</w:t>
      </w:r>
    </w:p>
    <w:p w14:paraId="016AEED4" w14:textId="77777777" w:rsidR="00DE7E61" w:rsidRPr="00FF36D7" w:rsidRDefault="00DE7E61" w:rsidP="00DE7E61">
      <w:pPr>
        <w:widowControl w:val="0"/>
        <w:ind w:left="720"/>
        <w:rPr>
          <w:rFonts w:asciiTheme="minorHAnsi" w:hAnsiTheme="minorHAnsi" w:cs="Arial"/>
          <w:spacing w:val="-2"/>
          <w:szCs w:val="24"/>
        </w:rPr>
      </w:pPr>
    </w:p>
    <w:p w14:paraId="7E58EBA4" w14:textId="77777777" w:rsidR="00DE7E61" w:rsidRPr="00FF36D7" w:rsidRDefault="00DE7E61" w:rsidP="00DE7E61">
      <w:pPr>
        <w:widowControl w:val="0"/>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p>
    <w:p w14:paraId="3454EE5D" w14:textId="77777777" w:rsidR="00DE7E61" w:rsidRPr="00FF36D7" w:rsidRDefault="00F45193" w:rsidP="00DE7E61">
      <w:pPr>
        <w:pBdr>
          <w:top w:val="single" w:sz="4" w:space="1" w:color="auto"/>
          <w:left w:val="single" w:sz="4" w:space="4" w:color="auto"/>
          <w:bottom w:val="single" w:sz="4" w:space="1" w:color="auto"/>
          <w:right w:val="single" w:sz="4" w:space="4" w:color="auto"/>
        </w:pBdr>
        <w:rPr>
          <w:rFonts w:asciiTheme="minorHAnsi" w:hAnsiTheme="minorHAnsi" w:cs="Arial"/>
          <w:b/>
          <w:spacing w:val="-5"/>
          <w:szCs w:val="24"/>
        </w:rPr>
      </w:pPr>
      <w:r>
        <w:rPr>
          <w:rFonts w:asciiTheme="minorHAnsi" w:hAnsiTheme="minorHAnsi" w:cs="Arial"/>
          <w:b/>
          <w:spacing w:val="-2"/>
          <w:szCs w:val="24"/>
        </w:rPr>
        <w:t xml:space="preserve">OMIC policyholders are encouraged to contact our confidential Risk Management Hotline for assistance. Please call </w:t>
      </w:r>
      <w:r w:rsidR="00DE7E61" w:rsidRPr="00FF36D7">
        <w:rPr>
          <w:rFonts w:asciiTheme="minorHAnsi" w:hAnsiTheme="minorHAnsi" w:cs="Arial"/>
          <w:b/>
          <w:spacing w:val="-2"/>
          <w:szCs w:val="24"/>
        </w:rPr>
        <w:t xml:space="preserve">800.562.6642, option 4 </w:t>
      </w:r>
      <w:r w:rsidR="00DE7E61" w:rsidRPr="00FF36D7">
        <w:rPr>
          <w:rFonts w:asciiTheme="minorHAnsi" w:hAnsiTheme="minorHAnsi" w:cs="Arial"/>
          <w:b/>
          <w:szCs w:val="24"/>
        </w:rPr>
        <w:t xml:space="preserve">or email us at </w:t>
      </w:r>
      <w:hyperlink r:id="rId11" w:history="1">
        <w:r w:rsidR="00DE7E61" w:rsidRPr="00FF36D7">
          <w:rPr>
            <w:rStyle w:val="Hyperlink"/>
            <w:rFonts w:asciiTheme="minorHAnsi" w:hAnsiTheme="minorHAnsi" w:cs="Arial"/>
            <w:b/>
            <w:szCs w:val="24"/>
          </w:rPr>
          <w:t>riskmanagement@omic.com</w:t>
        </w:r>
      </w:hyperlink>
      <w:r w:rsidR="006A1FE4" w:rsidRPr="00FF36D7">
        <w:rPr>
          <w:rFonts w:asciiTheme="minorHAnsi" w:hAnsiTheme="minorHAnsi" w:cs="Arial"/>
          <w:b/>
          <w:szCs w:val="24"/>
        </w:rPr>
        <w:t xml:space="preserve">. </w:t>
      </w:r>
    </w:p>
    <w:p w14:paraId="3949277F" w14:textId="77777777" w:rsidR="00DE7E61" w:rsidRPr="00FF36D7" w:rsidRDefault="00DE7E61" w:rsidP="00DE7E61">
      <w:pPr>
        <w:tabs>
          <w:tab w:val="left" w:pos="0"/>
        </w:tabs>
        <w:suppressAutoHyphens/>
        <w:contextualSpacing/>
        <w:rPr>
          <w:rFonts w:asciiTheme="minorHAnsi" w:hAnsiTheme="minorHAnsi"/>
          <w:noProof/>
          <w:szCs w:val="24"/>
          <w:u w:val="single"/>
          <w:lang w:val="pt-BR"/>
        </w:rPr>
      </w:pPr>
      <w:r w:rsidRPr="00FF36D7">
        <w:rPr>
          <w:rFonts w:asciiTheme="minorHAnsi" w:hAnsiTheme="minorHAnsi"/>
          <w:noProof/>
          <w:szCs w:val="24"/>
          <w:u w:val="single"/>
          <w:lang w:val="pt-BR"/>
        </w:rPr>
        <w:t xml:space="preserve"> </w:t>
      </w:r>
    </w:p>
    <w:p w14:paraId="467D1871" w14:textId="77777777" w:rsidR="00DE7E61" w:rsidRPr="00FF36D7" w:rsidRDefault="00DE7E61" w:rsidP="00DE7E61">
      <w:pPr>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rPr>
          <w:rFonts w:asciiTheme="minorHAnsi" w:hAnsiTheme="minorHAnsi"/>
          <w:spacing w:val="-2"/>
          <w:szCs w:val="24"/>
        </w:rPr>
      </w:pPr>
    </w:p>
    <w:p w14:paraId="481F70B5" w14:textId="77777777" w:rsidR="00176B2E" w:rsidRPr="00FF36D7" w:rsidRDefault="00176B2E">
      <w:pPr>
        <w:rPr>
          <w:rFonts w:asciiTheme="minorHAnsi" w:hAnsiTheme="minorHAnsi"/>
          <w:szCs w:val="24"/>
        </w:rPr>
      </w:pPr>
    </w:p>
    <w:sectPr w:rsidR="00176B2E" w:rsidRPr="00FF36D7" w:rsidSect="00FF36D7">
      <w:footerReference w:type="even"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427F4" w14:textId="77777777" w:rsidR="00937706" w:rsidRDefault="00937706" w:rsidP="00DE7E61">
      <w:r>
        <w:separator/>
      </w:r>
    </w:p>
  </w:endnote>
  <w:endnote w:type="continuationSeparator" w:id="0">
    <w:p w14:paraId="2C47ED24" w14:textId="77777777" w:rsidR="00937706" w:rsidRDefault="00937706" w:rsidP="00DE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AA82E" w14:textId="77777777" w:rsidR="00C94507" w:rsidRDefault="009D77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B2D6E3" w14:textId="77777777" w:rsidR="00C94507" w:rsidRDefault="00E11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1B6BE" w14:textId="690C4EAB" w:rsidR="00C94507" w:rsidRDefault="009D77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1B62">
      <w:rPr>
        <w:rStyle w:val="PageNumber"/>
        <w:noProof/>
      </w:rPr>
      <w:t>3</w:t>
    </w:r>
    <w:r>
      <w:rPr>
        <w:rStyle w:val="PageNumber"/>
      </w:rPr>
      <w:fldChar w:fldCharType="end"/>
    </w:r>
  </w:p>
  <w:p w14:paraId="19FC908F" w14:textId="77777777" w:rsidR="00C94507" w:rsidRDefault="00E11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E0D5A" w14:textId="77777777" w:rsidR="00937706" w:rsidRDefault="00937706" w:rsidP="00DE7E61">
      <w:r>
        <w:separator/>
      </w:r>
    </w:p>
  </w:footnote>
  <w:footnote w:type="continuationSeparator" w:id="0">
    <w:p w14:paraId="03E39265" w14:textId="77777777" w:rsidR="00937706" w:rsidRDefault="00937706" w:rsidP="00DE7E61">
      <w:r>
        <w:continuationSeparator/>
      </w:r>
    </w:p>
  </w:footnote>
  <w:footnote w:id="1">
    <w:p w14:paraId="42147178" w14:textId="77777777" w:rsidR="00DE7E61" w:rsidRPr="006A1FE4" w:rsidRDefault="00DE7E61" w:rsidP="00DE7E61">
      <w:pPr>
        <w:pStyle w:val="FootnoteText"/>
        <w:rPr>
          <w:rFonts w:asciiTheme="minorHAnsi" w:hAnsiTheme="minorHAnsi"/>
        </w:rPr>
      </w:pPr>
      <w:r>
        <w:rPr>
          <w:rStyle w:val="FootnoteReference"/>
        </w:rPr>
        <w:footnoteRef/>
      </w:r>
      <w:r>
        <w:t xml:space="preserve"> </w:t>
      </w:r>
      <w:r w:rsidR="003A12AB" w:rsidRPr="006A1FE4">
        <w:rPr>
          <w:rFonts w:asciiTheme="minorHAnsi" w:hAnsiTheme="minorHAnsi"/>
        </w:rPr>
        <w:t xml:space="preserve">Lewis, Richard A, MD. </w:t>
      </w:r>
      <w:r w:rsidRPr="006A1FE4">
        <w:rPr>
          <w:rFonts w:asciiTheme="minorHAnsi" w:hAnsiTheme="minorHAnsi"/>
        </w:rPr>
        <w:t>Intrav</w:t>
      </w:r>
      <w:r w:rsidR="003A12AB" w:rsidRPr="006A1FE4">
        <w:rPr>
          <w:rFonts w:asciiTheme="minorHAnsi" w:hAnsiTheme="minorHAnsi"/>
        </w:rPr>
        <w:t>itreal Kenalog</w:t>
      </w:r>
      <w:r w:rsidR="003A12AB" w:rsidRPr="006A1FE4">
        <w:rPr>
          <w:rFonts w:asciiTheme="minorHAnsi" w:hAnsiTheme="minorHAnsi"/>
          <w:vertAlign w:val="superscript"/>
        </w:rPr>
        <w:t>TM</w:t>
      </w:r>
      <w:r w:rsidR="003A12AB" w:rsidRPr="006A1FE4">
        <w:rPr>
          <w:rFonts w:asciiTheme="minorHAnsi" w:hAnsiTheme="minorHAnsi"/>
        </w:rPr>
        <w:t xml:space="preserve"> and Glaucoma. </w:t>
      </w:r>
      <w:r w:rsidRPr="006A1FE4">
        <w:rPr>
          <w:rFonts w:asciiTheme="minorHAnsi" w:hAnsiTheme="minorHAnsi"/>
          <w:i/>
        </w:rPr>
        <w:t>Glaucoma Today</w:t>
      </w:r>
      <w:r w:rsidR="003A12AB" w:rsidRPr="006A1FE4">
        <w:rPr>
          <w:rFonts w:asciiTheme="minorHAnsi" w:hAnsiTheme="minorHAnsi"/>
        </w:rPr>
        <w:t xml:space="preserve">. 2005. </w:t>
      </w:r>
      <w:hyperlink r:id="rId1" w:history="1">
        <w:r w:rsidR="003A12AB" w:rsidRPr="006A1FE4">
          <w:rPr>
            <w:rStyle w:val="Hyperlink"/>
            <w:rFonts w:asciiTheme="minorHAnsi" w:hAnsiTheme="minorHAnsi"/>
          </w:rPr>
          <w:t>https://glaucomatoday.com/articles/2005-mar-apr/0305_06.html</w:t>
        </w:r>
      </w:hyperlink>
      <w:r w:rsidR="003A12AB" w:rsidRPr="006A1FE4">
        <w:rPr>
          <w:rStyle w:val="Hyperlink"/>
          <w:rFonts w:asciiTheme="minorHAnsi" w:hAnsiTheme="minorHAnsi"/>
          <w:color w:val="auto"/>
          <w:u w:val="none"/>
        </w:rPr>
        <w:t>. Accessed 6/26/20.</w:t>
      </w:r>
      <w:r w:rsidRPr="006A1FE4">
        <w:rPr>
          <w:rFonts w:asciiTheme="minorHAnsi" w:hAnsiTheme="minorHAnsi"/>
        </w:rPr>
        <w:t xml:space="preserve"> </w:t>
      </w:r>
    </w:p>
  </w:footnote>
  <w:footnote w:id="2">
    <w:p w14:paraId="2551DB9E" w14:textId="77777777" w:rsidR="00E5342B" w:rsidRPr="006A1FE4" w:rsidRDefault="00E5342B" w:rsidP="00E5342B">
      <w:pPr>
        <w:pStyle w:val="FootnoteText"/>
        <w:rPr>
          <w:rFonts w:asciiTheme="minorHAnsi" w:hAnsiTheme="minorHAnsi"/>
        </w:rPr>
      </w:pPr>
      <w:r w:rsidRPr="006A1FE4">
        <w:rPr>
          <w:rStyle w:val="FootnoteReference"/>
          <w:rFonts w:asciiTheme="minorHAnsi" w:hAnsiTheme="minorHAnsi"/>
        </w:rPr>
        <w:footnoteRef/>
      </w:r>
      <w:r w:rsidRPr="006A1FE4">
        <w:rPr>
          <w:rFonts w:asciiTheme="minorHAnsi" w:hAnsiTheme="minorHAnsi"/>
        </w:rPr>
        <w:t xml:space="preserve"> Information Sheets. Guidance for Institutional Review Boards and Clinical Investigators.1998 </w:t>
      </w:r>
      <w:r w:rsidR="006A1FE4" w:rsidRPr="006A1FE4">
        <w:rPr>
          <w:rFonts w:asciiTheme="minorHAnsi" w:hAnsiTheme="minorHAnsi"/>
        </w:rPr>
        <w:t>Update “</w:t>
      </w:r>
      <w:r w:rsidRPr="006A1FE4">
        <w:rPr>
          <w:rFonts w:asciiTheme="minorHAnsi" w:hAnsiTheme="minorHAnsi"/>
        </w:rPr>
        <w:t xml:space="preserve">Off-Label” and Investigational Use of Marketed Drugs, Biologics, and Medical Devices. </w:t>
      </w:r>
      <w:hyperlink r:id="rId2" w:history="1">
        <w:r w:rsidR="006A1FE4" w:rsidRPr="006A1FE4">
          <w:rPr>
            <w:rStyle w:val="Hyperlink"/>
            <w:rFonts w:asciiTheme="minorHAnsi" w:hAnsiTheme="minorHAnsi"/>
          </w:rPr>
          <w:t>https://www.fda.gov/regulatory-information/search-fda-guidance-documents/label-and-investigational-use-marketed-drugs-biologics-and-medical-devices</w:t>
        </w:r>
      </w:hyperlink>
      <w:r w:rsidRPr="006A1FE4">
        <w:rPr>
          <w:rFonts w:asciiTheme="minorHAnsi" w:hAnsiTheme="minorHAnsi"/>
        </w:rPr>
        <w:t>.</w:t>
      </w:r>
      <w:r w:rsidR="006A1FE4" w:rsidRPr="006A1FE4">
        <w:rPr>
          <w:rFonts w:asciiTheme="minorHAnsi" w:hAnsiTheme="minorHAnsi"/>
        </w:rPr>
        <w:t xml:space="preserve"> Accessed </w:t>
      </w:r>
      <w:r w:rsidRPr="006A1FE4">
        <w:rPr>
          <w:rFonts w:asciiTheme="minorHAnsi" w:hAnsiTheme="minorHAnsi"/>
        </w:rPr>
        <w:t>6/25/20.</w:t>
      </w:r>
      <w:bookmarkStart w:id="0" w:name="_GoBack"/>
      <w:bookmarkEnd w:id="0"/>
    </w:p>
  </w:footnote>
  <w:footnote w:id="3">
    <w:p w14:paraId="5062F9C4" w14:textId="77777777" w:rsidR="006A1FE4" w:rsidRPr="006A1FE4" w:rsidRDefault="006A1FE4">
      <w:pPr>
        <w:pStyle w:val="FootnoteText"/>
        <w:rPr>
          <w:rFonts w:asciiTheme="minorHAnsi" w:hAnsiTheme="minorHAnsi"/>
        </w:rPr>
      </w:pPr>
      <w:r w:rsidRPr="006A1FE4">
        <w:rPr>
          <w:rStyle w:val="FootnoteReference"/>
          <w:rFonts w:asciiTheme="minorHAnsi" w:hAnsiTheme="minorHAnsi"/>
        </w:rPr>
        <w:footnoteRef/>
      </w:r>
      <w:r w:rsidRPr="006A1FE4">
        <w:rPr>
          <w:rFonts w:asciiTheme="minorHAnsi" w:hAnsiTheme="minorHAnsi"/>
        </w:rPr>
        <w:t xml:space="preserve"> Gallemore RP, Boyer DS. Intravitreal Kenalog. Eye Net June 2020. </w:t>
      </w:r>
      <w:hyperlink r:id="rId3" w:history="1">
        <w:r w:rsidRPr="006A1FE4">
          <w:rPr>
            <w:rStyle w:val="Hyperlink"/>
            <w:rFonts w:asciiTheme="minorHAnsi" w:hAnsiTheme="minorHAnsi"/>
          </w:rPr>
          <w:t>https://www.aao.org/eyenet/article/intravitreal-kenalog-injections</w:t>
        </w:r>
      </w:hyperlink>
      <w:r w:rsidRPr="006A1FE4">
        <w:rPr>
          <w:rFonts w:asciiTheme="minorHAnsi" w:hAnsiTheme="minorHAnsi"/>
        </w:rPr>
        <w:t>. Accessed 6/25/20.</w:t>
      </w:r>
    </w:p>
  </w:footnote>
  <w:footnote w:id="4">
    <w:p w14:paraId="0014A4FB" w14:textId="77777777" w:rsidR="0043583A" w:rsidRPr="00285091" w:rsidRDefault="0043583A" w:rsidP="0043583A">
      <w:pPr>
        <w:pStyle w:val="FootnoteText"/>
        <w:rPr>
          <w:rFonts w:asciiTheme="minorHAnsi" w:hAnsiTheme="minorHAnsi" w:cs="Arial"/>
          <w:sz w:val="18"/>
          <w:szCs w:val="18"/>
        </w:rPr>
      </w:pPr>
      <w:r w:rsidRPr="00913C06">
        <w:rPr>
          <w:rStyle w:val="FootnoteReference"/>
          <w:rFonts w:ascii="Arial" w:hAnsi="Arial" w:cs="Arial"/>
        </w:rPr>
        <w:footnoteRef/>
      </w:r>
      <w:r w:rsidRPr="00913C06">
        <w:rPr>
          <w:rFonts w:ascii="Arial" w:hAnsi="Arial" w:cs="Arial"/>
        </w:rPr>
        <w:t xml:space="preserve"> </w:t>
      </w:r>
      <w:r w:rsidRPr="00285091">
        <w:rPr>
          <w:rFonts w:asciiTheme="minorHAnsi" w:hAnsiTheme="minorHAnsi" w:cs="Arial"/>
          <w:sz w:val="18"/>
          <w:szCs w:val="18"/>
        </w:rPr>
        <w:t xml:space="preserve">Avery RL et al. Intravitreal Injection Technique and Monitoring. Updated Guidelines of an Expert Panel. </w:t>
      </w:r>
      <w:r w:rsidRPr="00285091">
        <w:rPr>
          <w:rFonts w:asciiTheme="minorHAnsi" w:hAnsiTheme="minorHAnsi" w:cs="Arial"/>
          <w:i/>
          <w:sz w:val="18"/>
          <w:szCs w:val="18"/>
        </w:rPr>
        <w:t>Retina</w:t>
      </w:r>
      <w:r w:rsidRPr="00285091">
        <w:rPr>
          <w:rFonts w:asciiTheme="minorHAnsi" w:hAnsiTheme="minorHAnsi" w:cs="Arial"/>
          <w:sz w:val="18"/>
          <w:szCs w:val="18"/>
        </w:rPr>
        <w:t>. 2014: 34, number 12, S1-S18.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411C"/>
    <w:multiLevelType w:val="hybridMultilevel"/>
    <w:tmpl w:val="0C580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E2202"/>
    <w:multiLevelType w:val="hybridMultilevel"/>
    <w:tmpl w:val="B43CDE5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B660FB3"/>
    <w:multiLevelType w:val="hybridMultilevel"/>
    <w:tmpl w:val="5A6417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E61"/>
    <w:rsid w:val="00047B74"/>
    <w:rsid w:val="00086237"/>
    <w:rsid w:val="001213B6"/>
    <w:rsid w:val="00176B2E"/>
    <w:rsid w:val="001E2B12"/>
    <w:rsid w:val="00221329"/>
    <w:rsid w:val="0025418C"/>
    <w:rsid w:val="00285091"/>
    <w:rsid w:val="00291B65"/>
    <w:rsid w:val="003A12AB"/>
    <w:rsid w:val="0043583A"/>
    <w:rsid w:val="00574622"/>
    <w:rsid w:val="005D1C10"/>
    <w:rsid w:val="00615E08"/>
    <w:rsid w:val="00695D90"/>
    <w:rsid w:val="006A1FE4"/>
    <w:rsid w:val="00732B13"/>
    <w:rsid w:val="0074222B"/>
    <w:rsid w:val="00830323"/>
    <w:rsid w:val="008372E8"/>
    <w:rsid w:val="00937706"/>
    <w:rsid w:val="00956DF1"/>
    <w:rsid w:val="009D7762"/>
    <w:rsid w:val="00A94591"/>
    <w:rsid w:val="00C95820"/>
    <w:rsid w:val="00CF548A"/>
    <w:rsid w:val="00DD0CA3"/>
    <w:rsid w:val="00DE7E61"/>
    <w:rsid w:val="00E11B62"/>
    <w:rsid w:val="00E5342B"/>
    <w:rsid w:val="00F45193"/>
    <w:rsid w:val="00FB0BDB"/>
    <w:rsid w:val="00FF3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68C5EEA"/>
  <w15:chartTrackingRefBased/>
  <w15:docId w15:val="{AAD92638-65B0-4B63-AB17-6C440F93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E61"/>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E7E61"/>
    <w:pPr>
      <w:tabs>
        <w:tab w:val="center" w:pos="4320"/>
        <w:tab w:val="right" w:pos="8640"/>
      </w:tabs>
    </w:pPr>
  </w:style>
  <w:style w:type="character" w:customStyle="1" w:styleId="FooterChar">
    <w:name w:val="Footer Char"/>
    <w:basedOn w:val="DefaultParagraphFont"/>
    <w:link w:val="Footer"/>
    <w:rsid w:val="00DE7E61"/>
    <w:rPr>
      <w:rFonts w:ascii="Times" w:eastAsia="Times" w:hAnsi="Times" w:cs="Times New Roman"/>
      <w:sz w:val="24"/>
      <w:szCs w:val="20"/>
    </w:rPr>
  </w:style>
  <w:style w:type="character" w:styleId="PageNumber">
    <w:name w:val="page number"/>
    <w:basedOn w:val="DefaultParagraphFont"/>
    <w:rsid w:val="00DE7E61"/>
  </w:style>
  <w:style w:type="character" w:styleId="Hyperlink">
    <w:name w:val="Hyperlink"/>
    <w:rsid w:val="00DE7E61"/>
    <w:rPr>
      <w:color w:val="0000FF"/>
      <w:u w:val="single"/>
    </w:rPr>
  </w:style>
  <w:style w:type="paragraph" w:styleId="BodyText">
    <w:name w:val="Body Text"/>
    <w:basedOn w:val="Normal"/>
    <w:link w:val="BodyTextChar"/>
    <w:rsid w:val="00DE7E61"/>
    <w:pPr>
      <w:spacing w:after="120"/>
    </w:pPr>
  </w:style>
  <w:style w:type="character" w:customStyle="1" w:styleId="BodyTextChar">
    <w:name w:val="Body Text Char"/>
    <w:basedOn w:val="DefaultParagraphFont"/>
    <w:link w:val="BodyText"/>
    <w:rsid w:val="00DE7E61"/>
    <w:rPr>
      <w:rFonts w:ascii="Times" w:eastAsia="Times" w:hAnsi="Times" w:cs="Times New Roman"/>
      <w:sz w:val="24"/>
      <w:szCs w:val="20"/>
    </w:rPr>
  </w:style>
  <w:style w:type="paragraph" w:styleId="FootnoteText">
    <w:name w:val="footnote text"/>
    <w:basedOn w:val="Normal"/>
    <w:link w:val="FootnoteTextChar"/>
    <w:uiPriority w:val="99"/>
    <w:semiHidden/>
    <w:rsid w:val="00DE7E61"/>
    <w:rPr>
      <w:sz w:val="20"/>
    </w:rPr>
  </w:style>
  <w:style w:type="character" w:customStyle="1" w:styleId="FootnoteTextChar">
    <w:name w:val="Footnote Text Char"/>
    <w:basedOn w:val="DefaultParagraphFont"/>
    <w:link w:val="FootnoteText"/>
    <w:uiPriority w:val="99"/>
    <w:semiHidden/>
    <w:rsid w:val="00DE7E61"/>
    <w:rPr>
      <w:rFonts w:ascii="Times" w:eastAsia="Times" w:hAnsi="Times" w:cs="Times New Roman"/>
      <w:sz w:val="20"/>
      <w:szCs w:val="20"/>
    </w:rPr>
  </w:style>
  <w:style w:type="character" w:styleId="FootnoteReference">
    <w:name w:val="footnote reference"/>
    <w:uiPriority w:val="99"/>
    <w:semiHidden/>
    <w:rsid w:val="00DE7E61"/>
    <w:rPr>
      <w:vertAlign w:val="superscript"/>
    </w:rPr>
  </w:style>
  <w:style w:type="paragraph" w:styleId="Subtitle">
    <w:name w:val="Subtitle"/>
    <w:basedOn w:val="Normal"/>
    <w:link w:val="SubtitleChar"/>
    <w:qFormat/>
    <w:rsid w:val="00DE7E61"/>
    <w:pPr>
      <w:autoSpaceDE w:val="0"/>
      <w:autoSpaceDN w:val="0"/>
      <w:jc w:val="center"/>
    </w:pPr>
    <w:rPr>
      <w:rFonts w:ascii="Times New Roman" w:eastAsia="Times New Roman" w:hAnsi="Times New Roman"/>
      <w:b/>
      <w:bCs/>
      <w:sz w:val="22"/>
      <w:szCs w:val="22"/>
    </w:rPr>
  </w:style>
  <w:style w:type="character" w:customStyle="1" w:styleId="SubtitleChar">
    <w:name w:val="Subtitle Char"/>
    <w:basedOn w:val="DefaultParagraphFont"/>
    <w:link w:val="Subtitle"/>
    <w:rsid w:val="00DE7E61"/>
    <w:rPr>
      <w:rFonts w:ascii="Times New Roman" w:eastAsia="Times New Roman" w:hAnsi="Times New Roman" w:cs="Times New Roman"/>
      <w:b/>
      <w:bCs/>
    </w:rPr>
  </w:style>
  <w:style w:type="character" w:styleId="FollowedHyperlink">
    <w:name w:val="FollowedHyperlink"/>
    <w:basedOn w:val="DefaultParagraphFont"/>
    <w:uiPriority w:val="99"/>
    <w:semiHidden/>
    <w:unhideWhenUsed/>
    <w:rsid w:val="003A12AB"/>
    <w:rPr>
      <w:color w:val="954F72" w:themeColor="followedHyperlink"/>
      <w:u w:val="single"/>
    </w:rPr>
  </w:style>
  <w:style w:type="character" w:styleId="CommentReference">
    <w:name w:val="annotation reference"/>
    <w:basedOn w:val="DefaultParagraphFont"/>
    <w:uiPriority w:val="99"/>
    <w:semiHidden/>
    <w:unhideWhenUsed/>
    <w:rsid w:val="003A12AB"/>
    <w:rPr>
      <w:sz w:val="16"/>
      <w:szCs w:val="16"/>
    </w:rPr>
  </w:style>
  <w:style w:type="paragraph" w:styleId="CommentText">
    <w:name w:val="annotation text"/>
    <w:basedOn w:val="Normal"/>
    <w:link w:val="CommentTextChar"/>
    <w:uiPriority w:val="99"/>
    <w:semiHidden/>
    <w:unhideWhenUsed/>
    <w:rsid w:val="003A12AB"/>
    <w:rPr>
      <w:sz w:val="20"/>
    </w:rPr>
  </w:style>
  <w:style w:type="character" w:customStyle="1" w:styleId="CommentTextChar">
    <w:name w:val="Comment Text Char"/>
    <w:basedOn w:val="DefaultParagraphFont"/>
    <w:link w:val="CommentText"/>
    <w:uiPriority w:val="99"/>
    <w:semiHidden/>
    <w:rsid w:val="003A12AB"/>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3A12AB"/>
    <w:rPr>
      <w:b/>
      <w:bCs/>
    </w:rPr>
  </w:style>
  <w:style w:type="character" w:customStyle="1" w:styleId="CommentSubjectChar">
    <w:name w:val="Comment Subject Char"/>
    <w:basedOn w:val="CommentTextChar"/>
    <w:link w:val="CommentSubject"/>
    <w:uiPriority w:val="99"/>
    <w:semiHidden/>
    <w:rsid w:val="003A12AB"/>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3A12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2AB"/>
    <w:rPr>
      <w:rFonts w:ascii="Segoe UI" w:eastAsia="Times" w:hAnsi="Segoe UI" w:cs="Segoe UI"/>
      <w:sz w:val="18"/>
      <w:szCs w:val="18"/>
    </w:rPr>
  </w:style>
  <w:style w:type="paragraph" w:styleId="ListParagraph">
    <w:name w:val="List Paragraph"/>
    <w:basedOn w:val="Normal"/>
    <w:uiPriority w:val="34"/>
    <w:qFormat/>
    <w:rsid w:val="00221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skmanagement@omic.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mic.com/triesence-consent-form/" TargetMode="External"/><Relationship Id="rId4" Type="http://schemas.openxmlformats.org/officeDocument/2006/relationships/settings" Target="settings.xml"/><Relationship Id="rId9" Type="http://schemas.openxmlformats.org/officeDocument/2006/relationships/hyperlink" Target="https://www.omic.com/kenalog-consent-for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ao.org/eyenet/article/intravitreal-kenalog-injections" TargetMode="External"/><Relationship Id="rId2" Type="http://schemas.openxmlformats.org/officeDocument/2006/relationships/hyperlink" Target="https://www.fda.gov/regulatory-information/search-fda-guidance-documents/label-and-investigational-use-marketed-drugs-biologics-and-medical-devices" TargetMode="External"/><Relationship Id="rId1" Type="http://schemas.openxmlformats.org/officeDocument/2006/relationships/hyperlink" Target="https://glaucomatoday.com/articles/2005-mar-apr/0305_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256B5-6E0F-4395-93C3-6F99E4AE3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OMIC</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Menke</dc:creator>
  <cp:keywords/>
  <dc:description/>
  <cp:lastModifiedBy>Anne Menke</cp:lastModifiedBy>
  <cp:revision>2</cp:revision>
  <dcterms:created xsi:type="dcterms:W3CDTF">2020-08-04T22:09:00Z</dcterms:created>
  <dcterms:modified xsi:type="dcterms:W3CDTF">2020-08-04T22:09:00Z</dcterms:modified>
</cp:coreProperties>
</file>