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D9793" w14:textId="3B001FFD" w:rsidR="00B746B5" w:rsidRPr="00177C2E" w:rsidRDefault="009B6D0F" w:rsidP="00B746B5">
      <w:pPr>
        <w:tabs>
          <w:tab w:val="left" w:pos="-720"/>
        </w:tabs>
        <w:suppressAutoHyphens/>
        <w:spacing w:after="0" w:line="240" w:lineRule="auto"/>
        <w:jc w:val="center"/>
        <w:rPr>
          <w:rFonts w:cs="Arial"/>
          <w:b/>
          <w:spacing w:val="-2"/>
          <w:sz w:val="24"/>
          <w:szCs w:val="24"/>
        </w:rPr>
      </w:pPr>
      <w:bookmarkStart w:id="0" w:name="_GoBack"/>
      <w:bookmarkEnd w:id="0"/>
      <w:r>
        <w:rPr>
          <w:noProof/>
        </w:rPr>
        <w:drawing>
          <wp:anchor distT="0" distB="0" distL="114300" distR="114300" simplePos="0" relativeHeight="251646464" behindDoc="0" locked="0" layoutInCell="1" allowOverlap="1" wp14:anchorId="2499B30E" wp14:editId="0D8A61F3">
            <wp:simplePos x="0" y="0"/>
            <wp:positionH relativeFrom="column">
              <wp:posOffset>-914400</wp:posOffset>
            </wp:positionH>
            <wp:positionV relativeFrom="paragraph">
              <wp:posOffset>-904875</wp:posOffset>
            </wp:positionV>
            <wp:extent cx="7839075" cy="139446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ommendations template-01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9075" cy="1394460"/>
                    </a:xfrm>
                    <a:prstGeom prst="rect">
                      <a:avLst/>
                    </a:prstGeom>
                  </pic:spPr>
                </pic:pic>
              </a:graphicData>
            </a:graphic>
            <wp14:sizeRelH relativeFrom="page">
              <wp14:pctWidth>0</wp14:pctWidth>
            </wp14:sizeRelH>
            <wp14:sizeRelV relativeFrom="page">
              <wp14:pctHeight>0</wp14:pctHeight>
            </wp14:sizeRelV>
          </wp:anchor>
        </w:drawing>
      </w:r>
      <w:r w:rsidR="00B746B5" w:rsidRPr="00B746B5">
        <w:rPr>
          <w:rFonts w:cs="Arial"/>
          <w:b/>
          <w:spacing w:val="-2"/>
          <w:sz w:val="36"/>
          <w:szCs w:val="36"/>
        </w:rPr>
        <w:t xml:space="preserve"> </w:t>
      </w:r>
      <w:r w:rsidR="00CF2F98">
        <w:rPr>
          <w:rFonts w:cs="Arial"/>
          <w:b/>
          <w:spacing w:val="-2"/>
          <w:sz w:val="36"/>
          <w:szCs w:val="36"/>
        </w:rPr>
        <w:t xml:space="preserve">Interval </w:t>
      </w:r>
      <w:proofErr w:type="gramStart"/>
      <w:r w:rsidR="00CF2F98">
        <w:rPr>
          <w:rFonts w:cs="Arial"/>
          <w:b/>
          <w:spacing w:val="-2"/>
          <w:sz w:val="36"/>
          <w:szCs w:val="36"/>
        </w:rPr>
        <w:t>Between</w:t>
      </w:r>
      <w:proofErr w:type="gramEnd"/>
      <w:r w:rsidR="00CF2F98">
        <w:rPr>
          <w:rFonts w:cs="Arial"/>
          <w:b/>
          <w:spacing w:val="-2"/>
          <w:sz w:val="36"/>
          <w:szCs w:val="36"/>
        </w:rPr>
        <w:t xml:space="preserve"> Cataract Surgeries</w:t>
      </w:r>
      <w:r w:rsidR="00B746B5">
        <w:rPr>
          <w:rFonts w:cs="Arial"/>
          <w:b/>
          <w:spacing w:val="-2"/>
          <w:sz w:val="36"/>
          <w:szCs w:val="36"/>
        </w:rPr>
        <w:t xml:space="preserve"> </w:t>
      </w:r>
    </w:p>
    <w:p w14:paraId="090C8BD7" w14:textId="77777777" w:rsidR="00B746B5" w:rsidRPr="00177C2E" w:rsidRDefault="00B746B5" w:rsidP="00B746B5">
      <w:pPr>
        <w:tabs>
          <w:tab w:val="left" w:pos="-720"/>
        </w:tabs>
        <w:suppressAutoHyphens/>
        <w:spacing w:after="0" w:line="240" w:lineRule="auto"/>
        <w:jc w:val="center"/>
        <w:rPr>
          <w:rFonts w:cs="Arial"/>
          <w:b/>
          <w:spacing w:val="-2"/>
          <w:sz w:val="24"/>
          <w:szCs w:val="24"/>
        </w:rPr>
      </w:pPr>
    </w:p>
    <w:p w14:paraId="415D7BBD" w14:textId="77777777" w:rsidR="00B746B5" w:rsidRPr="00177C2E" w:rsidRDefault="00B746B5" w:rsidP="00B746B5">
      <w:pPr>
        <w:tabs>
          <w:tab w:val="left" w:pos="-720"/>
        </w:tabs>
        <w:suppressAutoHyphens/>
        <w:spacing w:after="0" w:line="240" w:lineRule="auto"/>
        <w:jc w:val="center"/>
        <w:rPr>
          <w:rFonts w:cs="Arial"/>
          <w:b/>
          <w:spacing w:val="-2"/>
          <w:sz w:val="24"/>
          <w:szCs w:val="24"/>
        </w:rPr>
      </w:pPr>
      <w:r>
        <w:rPr>
          <w:rFonts w:cs="Arial"/>
          <w:b/>
          <w:spacing w:val="-2"/>
          <w:sz w:val="24"/>
          <w:szCs w:val="24"/>
        </w:rPr>
        <w:t>Anne M. Menke, RN, PhD</w:t>
      </w:r>
    </w:p>
    <w:p w14:paraId="3A60EA30" w14:textId="260FCCE2" w:rsidR="00B746B5" w:rsidRDefault="00B746B5" w:rsidP="00B746B5">
      <w:pPr>
        <w:tabs>
          <w:tab w:val="left" w:pos="-720"/>
        </w:tabs>
        <w:suppressAutoHyphens/>
        <w:spacing w:after="0" w:line="240" w:lineRule="auto"/>
        <w:jc w:val="center"/>
        <w:rPr>
          <w:rFonts w:cs="Arial"/>
          <w:b/>
          <w:spacing w:val="-2"/>
          <w:sz w:val="24"/>
          <w:szCs w:val="24"/>
        </w:rPr>
      </w:pPr>
      <w:r w:rsidRPr="00177C2E">
        <w:rPr>
          <w:rFonts w:cs="Arial"/>
          <w:b/>
          <w:spacing w:val="-2"/>
          <w:sz w:val="24"/>
          <w:szCs w:val="24"/>
        </w:rPr>
        <w:t xml:space="preserve">Reviewed by </w:t>
      </w:r>
      <w:r>
        <w:rPr>
          <w:rFonts w:cs="Arial"/>
          <w:b/>
          <w:spacing w:val="-2"/>
          <w:sz w:val="24"/>
          <w:szCs w:val="24"/>
        </w:rPr>
        <w:t>Ann Acer</w:t>
      </w:r>
      <w:r w:rsidR="002504C0">
        <w:rPr>
          <w:rFonts w:cs="Arial"/>
          <w:b/>
          <w:spacing w:val="-2"/>
          <w:sz w:val="24"/>
          <w:szCs w:val="24"/>
        </w:rPr>
        <w:t>s</w:t>
      </w:r>
      <w:r>
        <w:rPr>
          <w:rFonts w:cs="Arial"/>
          <w:b/>
          <w:spacing w:val="-2"/>
          <w:sz w:val="24"/>
          <w:szCs w:val="24"/>
        </w:rPr>
        <w:t xml:space="preserve">-Warn, MD, and Michelle Ying, MD </w:t>
      </w:r>
    </w:p>
    <w:p w14:paraId="3304F5D3" w14:textId="77777777" w:rsidR="00B746B5" w:rsidRDefault="00B746B5" w:rsidP="00B746B5">
      <w:pPr>
        <w:tabs>
          <w:tab w:val="left" w:pos="-720"/>
        </w:tabs>
        <w:suppressAutoHyphens/>
        <w:spacing w:after="0" w:line="240" w:lineRule="auto"/>
        <w:jc w:val="center"/>
        <w:rPr>
          <w:rFonts w:cs="Arial"/>
          <w:spacing w:val="-2"/>
          <w:sz w:val="24"/>
          <w:szCs w:val="24"/>
        </w:rPr>
      </w:pPr>
    </w:p>
    <w:p w14:paraId="605776F1" w14:textId="77777777" w:rsidR="00B746B5" w:rsidRPr="00177C2E" w:rsidRDefault="00B746B5" w:rsidP="00B746B5">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b/>
          <w:color w:val="333333"/>
          <w:sz w:val="22"/>
          <w:szCs w:val="22"/>
        </w:rPr>
      </w:pPr>
      <w:r w:rsidRPr="00177C2E">
        <w:rPr>
          <w:rFonts w:asciiTheme="minorHAnsi" w:hAnsiTheme="minorHAnsi" w:cs="Arial"/>
          <w:b/>
          <w:color w:val="333333"/>
          <w:sz w:val="22"/>
          <w:szCs w:val="22"/>
        </w:rPr>
        <w:t>Purpose of risk management recommendations</w:t>
      </w:r>
    </w:p>
    <w:p w14:paraId="167AECD8" w14:textId="77777777" w:rsidR="00B746B5" w:rsidRPr="00177C2E" w:rsidRDefault="00B746B5" w:rsidP="00B746B5">
      <w:pPr>
        <w:pStyle w:val="BodyText"/>
        <w:pBdr>
          <w:top w:val="single" w:sz="4" w:space="1" w:color="auto"/>
          <w:left w:val="single" w:sz="4" w:space="4" w:color="auto"/>
          <w:bottom w:val="single" w:sz="4" w:space="1" w:color="auto"/>
          <w:right w:val="single" w:sz="4" w:space="4" w:color="auto"/>
        </w:pBdr>
        <w:shd w:val="clear" w:color="auto" w:fill="E6E6E6"/>
        <w:spacing w:before="60" w:line="200" w:lineRule="atLeast"/>
        <w:rPr>
          <w:rFonts w:asciiTheme="minorHAnsi" w:hAnsiTheme="minorHAnsi" w:cs="Arial"/>
          <w:noProof/>
          <w:color w:val="333333"/>
          <w:sz w:val="22"/>
          <w:szCs w:val="22"/>
        </w:rPr>
      </w:pPr>
      <w:r w:rsidRPr="00177C2E">
        <w:rPr>
          <w:rFonts w:asciiTheme="minorHAnsi" w:hAnsiTheme="minorHAnsi" w:cs="Arial"/>
          <w:color w:val="333333"/>
          <w:sz w:val="22"/>
          <w:szCs w:val="22"/>
        </w:rPr>
        <w:t xml:space="preserve">OMIC regularly analyzes its claims experience to determine loss prevention measures that our insured ophthalmologists can take to reduce the likelihood of professional liability lawsuits. OMIC policyholders are not required to implement risk management recommendations. Rather, physicians should use their professional judgment in determining the applicability of a given </w:t>
      </w:r>
      <w:r w:rsidRPr="00177C2E">
        <w:rPr>
          <w:rFonts w:asciiTheme="minorHAnsi" w:hAnsiTheme="minorHAnsi" w:cs="Arial"/>
          <w:noProof/>
          <w:color w:val="333333"/>
          <w:sz w:val="22"/>
          <w:szCs w:val="22"/>
        </w:rPr>
        <w:t xml:space="preserve">recommendation to their particular patients and practice situation. These loss prevention documents may refer to clinical care guidelines such as the American Academy of Ophthalmology’s </w:t>
      </w:r>
      <w:r w:rsidRPr="00177C2E">
        <w:rPr>
          <w:rFonts w:asciiTheme="minorHAnsi" w:hAnsiTheme="minorHAnsi" w:cs="Arial"/>
          <w:i/>
          <w:noProof/>
          <w:color w:val="333333"/>
          <w:sz w:val="22"/>
          <w:szCs w:val="22"/>
        </w:rPr>
        <w:t>Preferred Practice Patterns</w:t>
      </w:r>
      <w:r w:rsidRPr="00177C2E">
        <w:rPr>
          <w:rFonts w:asciiTheme="minorHAnsi" w:hAnsiTheme="minorHAnsi" w:cs="Arial"/>
          <w:noProof/>
          <w:color w:val="333333"/>
          <w:sz w:val="22"/>
          <w:szCs w:val="22"/>
        </w:rPr>
        <w:t>, peer-reviewed articles, or to federal or state laws and regulations. However, our risk management recommendations do not constitute the standard of care nor do they provide legal advice. Consult an attorney if legal advice is desired or needed. Information contained here is not intended to be a modification of the terms and conditions of the OMIC professional and limited office premises liability insurance policy. Please refer to the OMIC policy for these terms and conditions.</w:t>
      </w:r>
    </w:p>
    <w:p w14:paraId="04DCE686" w14:textId="0F1FC010" w:rsidR="00B746B5" w:rsidRPr="00177C2E" w:rsidRDefault="00B746B5" w:rsidP="00B746B5">
      <w:pPr>
        <w:pStyle w:val="BodyText"/>
        <w:pBdr>
          <w:top w:val="single" w:sz="4" w:space="1" w:color="auto"/>
          <w:left w:val="single" w:sz="4" w:space="4" w:color="auto"/>
          <w:bottom w:val="single" w:sz="4" w:space="1" w:color="auto"/>
          <w:right w:val="single" w:sz="4" w:space="4" w:color="auto"/>
        </w:pBdr>
        <w:shd w:val="clear" w:color="auto" w:fill="E6E6E6"/>
        <w:tabs>
          <w:tab w:val="right" w:pos="9240"/>
        </w:tabs>
        <w:spacing w:before="60" w:line="200" w:lineRule="atLeast"/>
        <w:rPr>
          <w:rFonts w:asciiTheme="minorHAnsi" w:hAnsiTheme="minorHAnsi" w:cs="Arial"/>
          <w:b/>
          <w:noProof/>
          <w:sz w:val="22"/>
          <w:szCs w:val="22"/>
        </w:rPr>
      </w:pPr>
      <w:r>
        <w:rPr>
          <w:rFonts w:asciiTheme="minorHAnsi" w:hAnsiTheme="minorHAnsi" w:cs="Arial"/>
          <w:b/>
          <w:noProof/>
          <w:color w:val="333333"/>
          <w:sz w:val="22"/>
          <w:szCs w:val="22"/>
        </w:rPr>
        <w:t xml:space="preserve">Version </w:t>
      </w:r>
      <w:r w:rsidR="00CF2F98">
        <w:rPr>
          <w:rFonts w:asciiTheme="minorHAnsi" w:hAnsiTheme="minorHAnsi" w:cs="Arial"/>
          <w:b/>
          <w:noProof/>
          <w:color w:val="333333"/>
          <w:sz w:val="22"/>
          <w:szCs w:val="22"/>
        </w:rPr>
        <w:t>1/3/19</w:t>
      </w:r>
    </w:p>
    <w:p w14:paraId="74EB886E" w14:textId="77777777" w:rsidR="00003B01" w:rsidRDefault="00003B01" w:rsidP="00B251E8">
      <w:pPr>
        <w:pStyle w:val="BodyText"/>
        <w:spacing w:after="0"/>
        <w:rPr>
          <w:rFonts w:asciiTheme="minorHAnsi" w:eastAsiaTheme="minorHAnsi" w:hAnsiTheme="minorHAnsi" w:cstheme="minorBidi"/>
          <w:sz w:val="22"/>
          <w:szCs w:val="22"/>
        </w:rPr>
      </w:pPr>
    </w:p>
    <w:p w14:paraId="4B1D6CE7" w14:textId="057AE438" w:rsidR="00CF2F98" w:rsidRDefault="00CF2F98" w:rsidP="00CF2F98">
      <w:pPr>
        <w:spacing w:after="0"/>
        <w:rPr>
          <w:rFonts w:cs="Arial"/>
        </w:rPr>
      </w:pPr>
      <w:r w:rsidRPr="00094DE8">
        <w:rPr>
          <w:rFonts w:cs="Arial"/>
        </w:rPr>
        <w:t xml:space="preserve">Ophthalmologists are at times asked by patients who live far from the hospital or surgery center, or those with significant medical co-morbidities, to perform cataract surgery on the same or consecutive days. Some patients prefer to have the procedures done the same day. This risk management recommendation document will provide information for the physician to consider during the decision-making process. </w:t>
      </w:r>
    </w:p>
    <w:p w14:paraId="626E85FA" w14:textId="77777777" w:rsidR="00094DE8" w:rsidRPr="00094DE8" w:rsidRDefault="00094DE8" w:rsidP="00CF2F98">
      <w:pPr>
        <w:spacing w:after="0"/>
        <w:rPr>
          <w:rFonts w:cs="Arial"/>
        </w:rPr>
      </w:pPr>
    </w:p>
    <w:p w14:paraId="1EDAE3E6" w14:textId="58BDE1C6" w:rsidR="00094DE8" w:rsidRPr="00E23849" w:rsidRDefault="00094DE8" w:rsidP="00E23849">
      <w:pPr>
        <w:spacing w:after="0"/>
        <w:contextualSpacing/>
        <w:rPr>
          <w:rFonts w:cs="Arial"/>
          <w:b/>
        </w:rPr>
      </w:pPr>
      <w:r w:rsidRPr="00094DE8">
        <w:rPr>
          <w:rFonts w:cs="Arial"/>
        </w:rPr>
        <w:t>The American Academy of Ophthalmology’s Preferred Practice Pattern (PPP), “Cataract in the</w:t>
      </w:r>
      <w:r>
        <w:rPr>
          <w:rFonts w:cs="Arial"/>
        </w:rPr>
        <w:t xml:space="preserve"> Adult Eye,” has a section on second-eye surgery</w:t>
      </w:r>
      <w:r w:rsidRPr="00094DE8">
        <w:rPr>
          <w:rFonts w:cs="Arial"/>
        </w:rPr>
        <w:t xml:space="preserve"> that addresses the interval between surgeries, as </w:t>
      </w:r>
      <w:r>
        <w:rPr>
          <w:rFonts w:cs="Arial"/>
        </w:rPr>
        <w:t xml:space="preserve">well as a brief discussion of </w:t>
      </w:r>
      <w:r w:rsidR="004303CA">
        <w:rPr>
          <w:rFonts w:cs="Arial"/>
        </w:rPr>
        <w:t>bilateral cataract surgery done on the same day</w:t>
      </w:r>
      <w:r w:rsidRPr="00094DE8">
        <w:rPr>
          <w:rFonts w:cs="Arial"/>
        </w:rPr>
        <w:t>.</w:t>
      </w:r>
      <w:r>
        <w:rPr>
          <w:rStyle w:val="FootnoteReference"/>
          <w:rFonts w:cs="Arial"/>
        </w:rPr>
        <w:footnoteReference w:id="1"/>
      </w:r>
      <w:r w:rsidR="00E23849">
        <w:rPr>
          <w:rFonts w:cs="Arial"/>
          <w:b/>
        </w:rPr>
        <w:t xml:space="preserve"> </w:t>
      </w:r>
      <w:r w:rsidRPr="00094DE8">
        <w:rPr>
          <w:rFonts w:cs="Arial"/>
        </w:rPr>
        <w:t>The PPP lists the following as factors that influence the appropriate interval betwe</w:t>
      </w:r>
      <w:r w:rsidR="00E23849">
        <w:rPr>
          <w:rFonts w:cs="Arial"/>
        </w:rPr>
        <w:t>en first- and second-eye surgeries</w:t>
      </w:r>
      <w:r w:rsidRPr="00094DE8">
        <w:rPr>
          <w:rFonts w:cs="Arial"/>
        </w:rPr>
        <w:t>:</w:t>
      </w:r>
    </w:p>
    <w:p w14:paraId="2F13BB67" w14:textId="68CA5742" w:rsidR="00094DE8" w:rsidRPr="00E23849" w:rsidRDefault="00E23849" w:rsidP="00094DE8">
      <w:pPr>
        <w:numPr>
          <w:ilvl w:val="0"/>
          <w:numId w:val="14"/>
        </w:numPr>
        <w:spacing w:after="0" w:line="240" w:lineRule="auto"/>
        <w:rPr>
          <w:rFonts w:cs="Arial"/>
        </w:rPr>
      </w:pPr>
      <w:r>
        <w:rPr>
          <w:rFonts w:cs="Arial"/>
        </w:rPr>
        <w:t>P</w:t>
      </w:r>
      <w:r w:rsidR="00094DE8" w:rsidRPr="00E23849">
        <w:rPr>
          <w:rFonts w:cs="Arial"/>
        </w:rPr>
        <w:t>atient’s visual needs</w:t>
      </w:r>
      <w:r w:rsidRPr="00E23849">
        <w:rPr>
          <w:rFonts w:cs="Arial"/>
        </w:rPr>
        <w:t xml:space="preserve"> </w:t>
      </w:r>
      <w:r>
        <w:rPr>
          <w:rFonts w:cs="Arial"/>
        </w:rPr>
        <w:t xml:space="preserve">and </w:t>
      </w:r>
      <w:r w:rsidR="00094DE8" w:rsidRPr="00E23849">
        <w:rPr>
          <w:rFonts w:cs="Arial"/>
        </w:rPr>
        <w:t>preferences</w:t>
      </w:r>
    </w:p>
    <w:p w14:paraId="23092F6B" w14:textId="3CEBD78D" w:rsidR="00094DE8" w:rsidRPr="00094DE8" w:rsidRDefault="00E23849" w:rsidP="00094DE8">
      <w:pPr>
        <w:numPr>
          <w:ilvl w:val="0"/>
          <w:numId w:val="14"/>
        </w:numPr>
        <w:spacing w:after="0" w:line="240" w:lineRule="auto"/>
        <w:rPr>
          <w:rFonts w:cs="Arial"/>
        </w:rPr>
      </w:pPr>
      <w:r>
        <w:rPr>
          <w:rFonts w:cs="Arial"/>
        </w:rPr>
        <w:t>Visual acuity and function of</w:t>
      </w:r>
      <w:r w:rsidR="00094DE8" w:rsidRPr="00094DE8">
        <w:rPr>
          <w:rFonts w:cs="Arial"/>
        </w:rPr>
        <w:t xml:space="preserve"> the second eye</w:t>
      </w:r>
    </w:p>
    <w:p w14:paraId="326CDCE9" w14:textId="653C8F16" w:rsidR="00094DE8" w:rsidRPr="00094DE8" w:rsidRDefault="00E23849" w:rsidP="00094DE8">
      <w:pPr>
        <w:numPr>
          <w:ilvl w:val="0"/>
          <w:numId w:val="14"/>
        </w:numPr>
        <w:spacing w:after="0" w:line="240" w:lineRule="auto"/>
        <w:rPr>
          <w:rFonts w:cs="Arial"/>
        </w:rPr>
      </w:pPr>
      <w:r>
        <w:rPr>
          <w:rFonts w:cs="Arial"/>
        </w:rPr>
        <w:t>M</w:t>
      </w:r>
      <w:r w:rsidR="00094DE8" w:rsidRPr="00094DE8">
        <w:rPr>
          <w:rFonts w:cs="Arial"/>
        </w:rPr>
        <w:t>edical and refractive stability of the first eye</w:t>
      </w:r>
    </w:p>
    <w:p w14:paraId="1563A399" w14:textId="5C87C162" w:rsidR="00094DE8" w:rsidRPr="00094DE8" w:rsidRDefault="00E23849" w:rsidP="00094DE8">
      <w:pPr>
        <w:numPr>
          <w:ilvl w:val="0"/>
          <w:numId w:val="14"/>
        </w:numPr>
        <w:spacing w:after="0" w:line="240" w:lineRule="auto"/>
        <w:rPr>
          <w:rFonts w:cs="Arial"/>
        </w:rPr>
      </w:pPr>
      <w:r>
        <w:rPr>
          <w:rFonts w:cs="Arial"/>
        </w:rPr>
        <w:t xml:space="preserve">Degree of </w:t>
      </w:r>
      <w:proofErr w:type="spellStart"/>
      <w:r>
        <w:rPr>
          <w:rFonts w:cs="Arial"/>
        </w:rPr>
        <w:t>a</w:t>
      </w:r>
      <w:r w:rsidR="00094DE8" w:rsidRPr="00094DE8">
        <w:rPr>
          <w:rFonts w:cs="Arial"/>
        </w:rPr>
        <w:t>n</w:t>
      </w:r>
      <w:smartTag w:uri="urn:schemas-microsoft-com:office:smarttags" w:element="PersonName">
        <w:r w:rsidR="00094DE8" w:rsidRPr="00094DE8">
          <w:rPr>
            <w:rFonts w:cs="Arial"/>
          </w:rPr>
          <w:t>isom</w:t>
        </w:r>
      </w:smartTag>
      <w:r w:rsidR="00094DE8" w:rsidRPr="00094DE8">
        <w:rPr>
          <w:rFonts w:cs="Arial"/>
        </w:rPr>
        <w:t>etropia</w:t>
      </w:r>
      <w:proofErr w:type="spellEnd"/>
    </w:p>
    <w:p w14:paraId="1B0A5193" w14:textId="77777777" w:rsidR="006E6E00" w:rsidRDefault="006E6E00" w:rsidP="004303CA">
      <w:pPr>
        <w:spacing w:after="0"/>
        <w:rPr>
          <w:rFonts w:cs="Arial"/>
        </w:rPr>
      </w:pPr>
    </w:p>
    <w:p w14:paraId="7B79F8C2" w14:textId="56527501" w:rsidR="00094DE8" w:rsidRPr="00094DE8" w:rsidRDefault="00E23849" w:rsidP="004303CA">
      <w:pPr>
        <w:spacing w:after="0"/>
        <w:rPr>
          <w:rFonts w:cs="Arial"/>
        </w:rPr>
      </w:pPr>
      <w:r>
        <w:rPr>
          <w:rFonts w:cs="Arial"/>
        </w:rPr>
        <w:lastRenderedPageBreak/>
        <w:t xml:space="preserve">According to the PPP, </w:t>
      </w:r>
      <w:r w:rsidR="00094DE8" w:rsidRPr="00094DE8">
        <w:rPr>
          <w:rFonts w:cs="Arial"/>
        </w:rPr>
        <w:t xml:space="preserve">most ophthalmologists </w:t>
      </w:r>
      <w:r>
        <w:rPr>
          <w:rFonts w:cs="Arial"/>
        </w:rPr>
        <w:t xml:space="preserve">in the United States </w:t>
      </w:r>
      <w:r w:rsidR="00094DE8" w:rsidRPr="00094DE8">
        <w:rPr>
          <w:rFonts w:cs="Arial"/>
        </w:rPr>
        <w:t xml:space="preserve">do not perform </w:t>
      </w:r>
      <w:r>
        <w:rPr>
          <w:rFonts w:cs="Arial"/>
        </w:rPr>
        <w:t>immediate sequent</w:t>
      </w:r>
      <w:r w:rsidR="004303CA">
        <w:rPr>
          <w:rFonts w:cs="Arial"/>
        </w:rPr>
        <w:t xml:space="preserve">ial bilateral cataract surgery (ISBCS). </w:t>
      </w:r>
      <w:r w:rsidR="00EE6B5E">
        <w:rPr>
          <w:rFonts w:cs="Arial"/>
        </w:rPr>
        <w:t xml:space="preserve"> </w:t>
      </w:r>
      <w:r w:rsidR="00526626">
        <w:rPr>
          <w:rFonts w:cs="Arial"/>
        </w:rPr>
        <w:t>H</w:t>
      </w:r>
      <w:r w:rsidR="004303CA">
        <w:rPr>
          <w:rFonts w:cs="Arial"/>
        </w:rPr>
        <w:t>owever, as studies show some cost reduction and short-term functional advantage</w:t>
      </w:r>
      <w:r w:rsidR="00526626">
        <w:rPr>
          <w:rFonts w:cs="Arial"/>
        </w:rPr>
        <w:t xml:space="preserve"> as well as </w:t>
      </w:r>
      <w:r w:rsidR="004303CA">
        <w:rPr>
          <w:rFonts w:cs="Arial"/>
        </w:rPr>
        <w:t>some patients now request it</w:t>
      </w:r>
      <w:r w:rsidR="00526626">
        <w:rPr>
          <w:rFonts w:cs="Arial"/>
        </w:rPr>
        <w:t>, the number of ISBCS cases are growing</w:t>
      </w:r>
      <w:r w:rsidR="004303CA">
        <w:rPr>
          <w:rFonts w:cs="Arial"/>
        </w:rPr>
        <w:t xml:space="preserve">. </w:t>
      </w:r>
      <w:r w:rsidR="00526626">
        <w:rPr>
          <w:rFonts w:cs="Arial"/>
        </w:rPr>
        <w:t xml:space="preserve"> </w:t>
      </w:r>
      <w:r w:rsidR="004303CA">
        <w:rPr>
          <w:rFonts w:cs="Arial"/>
        </w:rPr>
        <w:t xml:space="preserve">Indications for </w:t>
      </w:r>
      <w:r w:rsidR="00526626">
        <w:rPr>
          <w:rFonts w:cs="Arial"/>
        </w:rPr>
        <w:t xml:space="preserve">ISBCS </w:t>
      </w:r>
      <w:r w:rsidR="004303CA">
        <w:rPr>
          <w:rFonts w:cs="Arial"/>
        </w:rPr>
        <w:t>include “t</w:t>
      </w:r>
      <w:r w:rsidR="00094DE8" w:rsidRPr="00094DE8">
        <w:rPr>
          <w:rFonts w:cs="Arial"/>
        </w:rPr>
        <w:t>he need for general anesthetic in the presence of bilateral, visually significant cataract</w:t>
      </w:r>
      <w:r w:rsidR="004303CA">
        <w:rPr>
          <w:rFonts w:cs="Arial"/>
        </w:rPr>
        <w:t xml:space="preserve">s, situations where </w:t>
      </w:r>
      <w:r w:rsidR="00094DE8" w:rsidRPr="00094DE8">
        <w:rPr>
          <w:rFonts w:cs="Arial"/>
        </w:rPr>
        <w:t>travel for surgery and follow-up care is a significant hard</w:t>
      </w:r>
      <w:r w:rsidR="004303CA">
        <w:rPr>
          <w:rFonts w:cs="Arial"/>
        </w:rPr>
        <w:t>ship for the patient, and w</w:t>
      </w:r>
      <w:r w:rsidR="00094DE8" w:rsidRPr="00094DE8">
        <w:rPr>
          <w:rFonts w:cs="Arial"/>
        </w:rPr>
        <w:t>hen the health of the patient ma</w:t>
      </w:r>
      <w:r w:rsidR="004303CA">
        <w:rPr>
          <w:rFonts w:cs="Arial"/>
        </w:rPr>
        <w:t>y limit surgery to one surgical encounter</w:t>
      </w:r>
      <w:r w:rsidR="00094DE8" w:rsidRPr="00094DE8">
        <w:rPr>
          <w:rFonts w:cs="Arial"/>
        </w:rPr>
        <w:t>.</w:t>
      </w:r>
      <w:r w:rsidR="004303CA">
        <w:rPr>
          <w:rFonts w:cs="Arial"/>
        </w:rPr>
        <w:t xml:space="preserve">” </w:t>
      </w:r>
    </w:p>
    <w:p w14:paraId="4D3AFEC7" w14:textId="6B4CEA90" w:rsidR="00C461A6" w:rsidRPr="00C461A6" w:rsidRDefault="00094DE8" w:rsidP="00C461A6">
      <w:pPr>
        <w:pStyle w:val="Heading1"/>
        <w:rPr>
          <w:rFonts w:asciiTheme="minorHAnsi" w:hAnsiTheme="minorHAnsi"/>
          <w:b/>
          <w:sz w:val="28"/>
          <w:szCs w:val="28"/>
        </w:rPr>
      </w:pPr>
      <w:r w:rsidRPr="00C461A6">
        <w:rPr>
          <w:rFonts w:asciiTheme="minorHAnsi" w:hAnsiTheme="minorHAnsi"/>
          <w:b/>
          <w:sz w:val="28"/>
          <w:szCs w:val="28"/>
        </w:rPr>
        <w:t xml:space="preserve">Risk management recommendations </w:t>
      </w:r>
    </w:p>
    <w:p w14:paraId="00CF8117" w14:textId="77777777" w:rsidR="00C461A6" w:rsidRDefault="00C461A6" w:rsidP="00C461A6">
      <w:pPr>
        <w:spacing w:after="0"/>
        <w:ind w:left="360"/>
        <w:rPr>
          <w:rFonts w:cs="Arial"/>
          <w:b/>
        </w:rPr>
      </w:pPr>
    </w:p>
    <w:p w14:paraId="00C58866" w14:textId="3C4C1128" w:rsidR="00C461A6" w:rsidRPr="00C461A6" w:rsidRDefault="00C461A6" w:rsidP="00C461A6">
      <w:pPr>
        <w:spacing w:after="0"/>
        <w:rPr>
          <w:rFonts w:cs="Arial"/>
          <w:b/>
        </w:rPr>
      </w:pPr>
      <w:r w:rsidRPr="00C461A6">
        <w:rPr>
          <w:rFonts w:cs="Arial"/>
          <w:b/>
        </w:rPr>
        <w:t>Preoperative evaluation: D</w:t>
      </w:r>
      <w:r w:rsidR="00094DE8" w:rsidRPr="00C461A6">
        <w:rPr>
          <w:rFonts w:cs="Arial"/>
          <w:b/>
        </w:rPr>
        <w:t>etermine, disclose, and document</w:t>
      </w:r>
      <w:r w:rsidRPr="00C461A6">
        <w:rPr>
          <w:rFonts w:cs="Arial"/>
          <w:b/>
        </w:rPr>
        <w:t>:</w:t>
      </w:r>
    </w:p>
    <w:p w14:paraId="754B2C5F" w14:textId="77777777" w:rsidR="00C461A6" w:rsidRDefault="00C461A6" w:rsidP="00C461A6">
      <w:pPr>
        <w:numPr>
          <w:ilvl w:val="0"/>
          <w:numId w:val="18"/>
        </w:numPr>
        <w:spacing w:after="0"/>
        <w:rPr>
          <w:rFonts w:cs="Arial"/>
        </w:rPr>
      </w:pPr>
      <w:r>
        <w:rPr>
          <w:rFonts w:cs="Arial"/>
        </w:rPr>
        <w:t>T</w:t>
      </w:r>
      <w:r w:rsidR="00094DE8" w:rsidRPr="00094DE8">
        <w:rPr>
          <w:rFonts w:cs="Arial"/>
        </w:rPr>
        <w:t xml:space="preserve">hat a cataract is responsible for vision loss </w:t>
      </w:r>
      <w:r w:rsidR="00094DE8" w:rsidRPr="00094DE8">
        <w:rPr>
          <w:rFonts w:cs="Arial"/>
          <w:u w:val="single"/>
        </w:rPr>
        <w:t>in each eye</w:t>
      </w:r>
      <w:r w:rsidR="00094DE8" w:rsidRPr="00094DE8">
        <w:rPr>
          <w:rFonts w:cs="Arial"/>
        </w:rPr>
        <w:t>, and verify and document that the cataract-induced vision loss has led to an inability to function with the current level of vision.</w:t>
      </w:r>
    </w:p>
    <w:p w14:paraId="54AF3607" w14:textId="68C5C1A8" w:rsidR="00C461A6" w:rsidRDefault="00C461A6" w:rsidP="00C461A6">
      <w:pPr>
        <w:numPr>
          <w:ilvl w:val="0"/>
          <w:numId w:val="18"/>
        </w:numPr>
        <w:spacing w:after="0"/>
        <w:rPr>
          <w:rFonts w:cs="Arial"/>
        </w:rPr>
      </w:pPr>
      <w:r>
        <w:rPr>
          <w:rFonts w:cs="Arial"/>
        </w:rPr>
        <w:t>The impact of cataract-related vision impairment on p</w:t>
      </w:r>
      <w:r w:rsidR="00094DE8" w:rsidRPr="00C461A6">
        <w:rPr>
          <w:rFonts w:cs="Arial"/>
        </w:rPr>
        <w:t>re-existing ocular co-morbiditie</w:t>
      </w:r>
      <w:r>
        <w:rPr>
          <w:rFonts w:cs="Arial"/>
        </w:rPr>
        <w:t>s</w:t>
      </w:r>
      <w:r w:rsidR="00094DE8" w:rsidRPr="00C461A6">
        <w:rPr>
          <w:rFonts w:cs="Arial"/>
        </w:rPr>
        <w:t xml:space="preserve"> </w:t>
      </w:r>
      <w:r w:rsidR="00094DE8" w:rsidRPr="00C461A6">
        <w:rPr>
          <w:rFonts w:cs="Arial"/>
          <w:u w:val="single"/>
        </w:rPr>
        <w:t>in each eye</w:t>
      </w:r>
      <w:r w:rsidR="00094DE8" w:rsidRPr="00C461A6">
        <w:rPr>
          <w:rFonts w:cs="Arial"/>
        </w:rPr>
        <w:t xml:space="preserve"> in order to carefully manage the patient’s expectations about the likely benefits of surgery.</w:t>
      </w:r>
    </w:p>
    <w:p w14:paraId="0006EC86" w14:textId="77777777" w:rsidR="00C461A6" w:rsidRDefault="00C461A6" w:rsidP="00C461A6">
      <w:pPr>
        <w:numPr>
          <w:ilvl w:val="0"/>
          <w:numId w:val="18"/>
        </w:numPr>
        <w:spacing w:after="0"/>
        <w:rPr>
          <w:rFonts w:cs="Arial"/>
        </w:rPr>
      </w:pPr>
      <w:r>
        <w:rPr>
          <w:rFonts w:cs="Arial"/>
        </w:rPr>
        <w:t>M</w:t>
      </w:r>
      <w:r w:rsidR="00094DE8" w:rsidRPr="00C461A6">
        <w:rPr>
          <w:rFonts w:cs="Arial"/>
        </w:rPr>
        <w:t>edical co-morbidities that might influence the need for and timing of the second-eye surgery</w:t>
      </w:r>
    </w:p>
    <w:p w14:paraId="23CFDA51" w14:textId="77777777" w:rsidR="00C461A6" w:rsidRDefault="00C461A6" w:rsidP="00C461A6">
      <w:pPr>
        <w:numPr>
          <w:ilvl w:val="0"/>
          <w:numId w:val="18"/>
        </w:numPr>
        <w:spacing w:after="0"/>
        <w:rPr>
          <w:rFonts w:cs="Arial"/>
        </w:rPr>
      </w:pPr>
      <w:r>
        <w:rPr>
          <w:rFonts w:cs="Arial"/>
        </w:rPr>
        <w:t>T</w:t>
      </w:r>
      <w:r w:rsidR="00094DE8" w:rsidRPr="00C461A6">
        <w:rPr>
          <w:rFonts w:cs="Arial"/>
        </w:rPr>
        <w:t>he patient’s preferences for the timing of the second-eye surgery, and the reasons for those preferences</w:t>
      </w:r>
    </w:p>
    <w:p w14:paraId="4190F7CA" w14:textId="5D847BEA" w:rsidR="00094DE8" w:rsidRDefault="00C461A6" w:rsidP="00C461A6">
      <w:pPr>
        <w:numPr>
          <w:ilvl w:val="0"/>
          <w:numId w:val="18"/>
        </w:numPr>
        <w:spacing w:after="0"/>
        <w:rPr>
          <w:rFonts w:cs="Arial"/>
        </w:rPr>
      </w:pPr>
      <w:r>
        <w:rPr>
          <w:rFonts w:cs="Arial"/>
        </w:rPr>
        <w:t>Y</w:t>
      </w:r>
      <w:r w:rsidR="00094DE8" w:rsidRPr="00C461A6">
        <w:rPr>
          <w:rFonts w:cs="Arial"/>
        </w:rPr>
        <w:t>our professional judgment about what is a safe interval between surgeries for this patient, being careful to document your decision-making process.</w:t>
      </w:r>
    </w:p>
    <w:p w14:paraId="3397FCB0" w14:textId="77777777" w:rsidR="00C461A6" w:rsidRDefault="00C461A6" w:rsidP="00C461A6">
      <w:pPr>
        <w:spacing w:after="0"/>
        <w:ind w:left="360"/>
        <w:rPr>
          <w:rFonts w:cs="Arial"/>
        </w:rPr>
      </w:pPr>
    </w:p>
    <w:p w14:paraId="7BEE2FA0" w14:textId="7BA60276" w:rsidR="00C461A6" w:rsidRDefault="00C461A6" w:rsidP="00C461A6">
      <w:pPr>
        <w:spacing w:after="0"/>
        <w:rPr>
          <w:rFonts w:cs="Arial"/>
        </w:rPr>
      </w:pPr>
      <w:r>
        <w:rPr>
          <w:rFonts w:cs="Arial"/>
          <w:b/>
        </w:rPr>
        <w:t>Informed consent</w:t>
      </w:r>
    </w:p>
    <w:p w14:paraId="6567647D" w14:textId="77777777" w:rsidR="00C461A6" w:rsidRDefault="00C461A6" w:rsidP="00C461A6">
      <w:pPr>
        <w:pStyle w:val="ListParagraph"/>
        <w:numPr>
          <w:ilvl w:val="0"/>
          <w:numId w:val="18"/>
        </w:numPr>
        <w:rPr>
          <w:rFonts w:asciiTheme="minorHAnsi" w:hAnsiTheme="minorHAnsi"/>
        </w:rPr>
      </w:pPr>
      <w:r w:rsidRPr="00C10551">
        <w:rPr>
          <w:rFonts w:asciiTheme="minorHAnsi" w:hAnsiTheme="minorHAnsi"/>
        </w:rPr>
        <w:t>Personally obtain the patient’s informed</w:t>
      </w:r>
      <w:r w:rsidRPr="00C10551">
        <w:rPr>
          <w:rFonts w:asciiTheme="minorHAnsi" w:hAnsiTheme="minorHAnsi"/>
          <w:spacing w:val="-5"/>
        </w:rPr>
        <w:t xml:space="preserve"> </w:t>
      </w:r>
      <w:r>
        <w:rPr>
          <w:rFonts w:asciiTheme="minorHAnsi" w:hAnsiTheme="minorHAnsi"/>
        </w:rPr>
        <w:t>consent (this is required by law in Pennsylvania).</w:t>
      </w:r>
    </w:p>
    <w:p w14:paraId="4D2EE4BF" w14:textId="77777777" w:rsidR="006E6E00" w:rsidRDefault="006E6E00" w:rsidP="006E6E00">
      <w:pPr>
        <w:numPr>
          <w:ilvl w:val="0"/>
          <w:numId w:val="13"/>
        </w:numPr>
        <w:spacing w:after="0"/>
        <w:rPr>
          <w:rFonts w:cs="Arial"/>
        </w:rPr>
      </w:pPr>
      <w:r w:rsidRPr="00094DE8">
        <w:rPr>
          <w:rFonts w:cs="Arial"/>
        </w:rPr>
        <w:t>Use a pr</w:t>
      </w:r>
      <w:r>
        <w:rPr>
          <w:rFonts w:cs="Arial"/>
        </w:rPr>
        <w:t>ocedure-specific consent form.</w:t>
      </w:r>
    </w:p>
    <w:p w14:paraId="4DB7D5E3" w14:textId="1A1A9EBD" w:rsidR="00094DE8" w:rsidRPr="006E6E00" w:rsidRDefault="006E6E00" w:rsidP="006E6E00">
      <w:pPr>
        <w:numPr>
          <w:ilvl w:val="0"/>
          <w:numId w:val="13"/>
        </w:numPr>
        <w:spacing w:after="0"/>
        <w:rPr>
          <w:rFonts w:cs="Arial"/>
        </w:rPr>
      </w:pPr>
      <w:r w:rsidRPr="006E6E00">
        <w:rPr>
          <w:rFonts w:cs="Arial"/>
        </w:rPr>
        <w:t xml:space="preserve">Explain the effect in each eye of the cataract, </w:t>
      </w:r>
      <w:r>
        <w:rPr>
          <w:rFonts w:cs="Arial"/>
        </w:rPr>
        <w:t>o</w:t>
      </w:r>
      <w:r w:rsidR="00094DE8" w:rsidRPr="006E6E00">
        <w:rPr>
          <w:rFonts w:cs="Arial"/>
        </w:rPr>
        <w:t xml:space="preserve">cular comorbidities, other known risk factors, and medical comorbidities on the likelihood of complications during and after the procedure, and on the final outcome.  </w:t>
      </w:r>
    </w:p>
    <w:p w14:paraId="16C77ABD" w14:textId="77777777" w:rsidR="00094DE8" w:rsidRDefault="00094DE8" w:rsidP="006E6E00">
      <w:pPr>
        <w:numPr>
          <w:ilvl w:val="0"/>
          <w:numId w:val="13"/>
        </w:numPr>
        <w:spacing w:after="0"/>
        <w:rPr>
          <w:rFonts w:cs="Arial"/>
        </w:rPr>
      </w:pPr>
      <w:r w:rsidRPr="006E6E00">
        <w:rPr>
          <w:rFonts w:cs="Arial"/>
        </w:rPr>
        <w:t xml:space="preserve">Type or write in, if necessary, any additional information related to the time interval between surgeries, especially the risk of undiagnosed </w:t>
      </w:r>
      <w:proofErr w:type="spellStart"/>
      <w:r w:rsidRPr="006E6E00">
        <w:rPr>
          <w:rFonts w:cs="Arial"/>
        </w:rPr>
        <w:t>endophthalmitis</w:t>
      </w:r>
      <w:proofErr w:type="spellEnd"/>
      <w:r w:rsidRPr="006E6E00">
        <w:rPr>
          <w:rFonts w:cs="Arial"/>
        </w:rPr>
        <w:t>.</w:t>
      </w:r>
    </w:p>
    <w:p w14:paraId="2ACC4251" w14:textId="77777777" w:rsidR="006E6E00" w:rsidRDefault="006E6E00" w:rsidP="006E6E00">
      <w:pPr>
        <w:pStyle w:val="ListParagraph"/>
        <w:numPr>
          <w:ilvl w:val="0"/>
          <w:numId w:val="13"/>
        </w:numPr>
        <w:rPr>
          <w:rFonts w:asciiTheme="minorHAnsi" w:hAnsiTheme="minorHAnsi"/>
        </w:rPr>
      </w:pPr>
      <w:r w:rsidRPr="00C10551">
        <w:rPr>
          <w:rFonts w:asciiTheme="minorHAnsi" w:hAnsiTheme="minorHAnsi"/>
        </w:rPr>
        <w:t>Obtain consent for each cataract</w:t>
      </w:r>
      <w:r w:rsidRPr="00C10551">
        <w:rPr>
          <w:rFonts w:asciiTheme="minorHAnsi" w:hAnsiTheme="minorHAnsi"/>
          <w:spacing w:val="-4"/>
        </w:rPr>
        <w:t xml:space="preserve"> </w:t>
      </w:r>
      <w:r w:rsidRPr="00C10551">
        <w:rPr>
          <w:rFonts w:asciiTheme="minorHAnsi" w:hAnsiTheme="minorHAnsi"/>
        </w:rPr>
        <w:t xml:space="preserve">procedure. </w:t>
      </w:r>
    </w:p>
    <w:p w14:paraId="4B059524" w14:textId="77777777" w:rsidR="006E6E00" w:rsidRPr="002876B9" w:rsidRDefault="006E6E00" w:rsidP="006E6E00">
      <w:pPr>
        <w:pStyle w:val="ListParagraph"/>
        <w:numPr>
          <w:ilvl w:val="1"/>
          <w:numId w:val="13"/>
        </w:numPr>
        <w:rPr>
          <w:rFonts w:asciiTheme="minorHAnsi" w:hAnsiTheme="minorHAnsi"/>
        </w:rPr>
      </w:pPr>
      <w:r w:rsidRPr="002876B9">
        <w:rPr>
          <w:rFonts w:asciiTheme="minorHAnsi" w:hAnsiTheme="minorHAnsi"/>
        </w:rPr>
        <w:t xml:space="preserve">Obtain consent for the second eye </w:t>
      </w:r>
      <w:r w:rsidRPr="006E6E00">
        <w:rPr>
          <w:rFonts w:asciiTheme="minorHAnsi" w:hAnsiTheme="minorHAnsi"/>
          <w:u w:val="single"/>
        </w:rPr>
        <w:t>after</w:t>
      </w:r>
      <w:r w:rsidRPr="002876B9">
        <w:rPr>
          <w:rFonts w:asciiTheme="minorHAnsi" w:hAnsiTheme="minorHAnsi"/>
        </w:rPr>
        <w:t xml:space="preserve"> evaluating the outcome of the first surgery. Use either a new consent form or add a second date and signature line to the initial consent form.</w:t>
      </w:r>
    </w:p>
    <w:p w14:paraId="303752A8" w14:textId="345F8267" w:rsidR="006E6E00" w:rsidRDefault="006E6E00" w:rsidP="006E6E00">
      <w:pPr>
        <w:pStyle w:val="ListParagraph"/>
        <w:numPr>
          <w:ilvl w:val="1"/>
          <w:numId w:val="13"/>
        </w:numPr>
        <w:rPr>
          <w:rFonts w:asciiTheme="minorHAnsi" w:hAnsiTheme="minorHAnsi"/>
        </w:rPr>
      </w:pPr>
      <w:r w:rsidRPr="002876B9">
        <w:rPr>
          <w:rFonts w:asciiTheme="minorHAnsi" w:hAnsiTheme="minorHAnsi"/>
        </w:rPr>
        <w:t>Carefully evaluate and discuss the risks and benefits of bilateral surgery performed on the same day, and add an addendum to the consent form</w:t>
      </w:r>
      <w:r w:rsidR="00526626">
        <w:rPr>
          <w:rFonts w:asciiTheme="minorHAnsi" w:hAnsiTheme="minorHAnsi"/>
        </w:rPr>
        <w:t xml:space="preserve"> if the patient chooses this option</w:t>
      </w:r>
      <w:r w:rsidRPr="002876B9">
        <w:rPr>
          <w:rFonts w:asciiTheme="minorHAnsi" w:hAnsiTheme="minorHAnsi"/>
        </w:rPr>
        <w:t>.</w:t>
      </w:r>
      <w:r w:rsidRPr="002876B9">
        <w:rPr>
          <w:rStyle w:val="FootnoteReference"/>
          <w:rFonts w:asciiTheme="minorHAnsi" w:hAnsiTheme="minorHAnsi"/>
        </w:rPr>
        <w:footnoteReference w:id="2"/>
      </w:r>
    </w:p>
    <w:p w14:paraId="73ECEFEE" w14:textId="77777777" w:rsidR="00094DE8" w:rsidRPr="00094DE8" w:rsidRDefault="00094DE8" w:rsidP="00C461A6">
      <w:pPr>
        <w:spacing w:after="0"/>
        <w:rPr>
          <w:rFonts w:cs="Arial"/>
        </w:rPr>
      </w:pPr>
    </w:p>
    <w:p w14:paraId="1E3DEB30" w14:textId="7A2232D4" w:rsidR="00424A66" w:rsidRPr="00D407F5" w:rsidRDefault="00424A66" w:rsidP="007D6243">
      <w:pPr>
        <w:pStyle w:val="BodyText"/>
        <w:pBdr>
          <w:top w:val="single" w:sz="4" w:space="1" w:color="auto"/>
          <w:left w:val="single" w:sz="4" w:space="4" w:color="auto"/>
          <w:bottom w:val="single" w:sz="4" w:space="1" w:color="auto"/>
          <w:right w:val="single" w:sz="4" w:space="4" w:color="auto"/>
        </w:pBdr>
        <w:spacing w:after="0"/>
        <w:rPr>
          <w:rFonts w:asciiTheme="minorHAnsi" w:hAnsiTheme="minorHAnsi"/>
          <w:b/>
          <w:color w:val="365F91" w:themeColor="accent1" w:themeShade="BF"/>
        </w:rPr>
      </w:pPr>
      <w:bookmarkStart w:id="1" w:name="_Obtain_the_patient’s"/>
      <w:bookmarkStart w:id="2" w:name="_Disclose_and_document"/>
      <w:bookmarkEnd w:id="1"/>
      <w:bookmarkEnd w:id="2"/>
      <w:r w:rsidRPr="00D407F5">
        <w:rPr>
          <w:rFonts w:asciiTheme="minorHAnsi" w:hAnsiTheme="minorHAnsi"/>
          <w:b/>
          <w:color w:val="365F91" w:themeColor="accent1" w:themeShade="BF"/>
        </w:rPr>
        <w:t xml:space="preserve">OMIC policyholders are invited to contact our confidential Risk Management Hotline at </w:t>
      </w:r>
      <w:hyperlink r:id="rId10" w:history="1">
        <w:r w:rsidRPr="00D407F5">
          <w:rPr>
            <w:rStyle w:val="Hyperlink"/>
            <w:rFonts w:asciiTheme="minorHAnsi" w:hAnsiTheme="minorHAnsi"/>
            <w:b/>
            <w:color w:val="365F91" w:themeColor="accent1" w:themeShade="BF"/>
          </w:rPr>
          <w:t>riskmanagement@omic.com</w:t>
        </w:r>
      </w:hyperlink>
      <w:r w:rsidRPr="00D407F5">
        <w:rPr>
          <w:rFonts w:asciiTheme="minorHAnsi" w:hAnsiTheme="minorHAnsi"/>
          <w:b/>
          <w:color w:val="365F91" w:themeColor="accent1" w:themeShade="BF"/>
        </w:rPr>
        <w:t xml:space="preserve"> or </w:t>
      </w:r>
      <w:r w:rsidR="00CF2F98">
        <w:rPr>
          <w:rFonts w:asciiTheme="minorHAnsi" w:hAnsiTheme="minorHAnsi"/>
          <w:b/>
          <w:color w:val="365F91" w:themeColor="accent1" w:themeShade="BF"/>
        </w:rPr>
        <w:t xml:space="preserve">at </w:t>
      </w:r>
      <w:r w:rsidRPr="00D407F5">
        <w:rPr>
          <w:rFonts w:asciiTheme="minorHAnsi" w:hAnsiTheme="minorHAnsi"/>
          <w:b/>
          <w:color w:val="365F91" w:themeColor="accent1" w:themeShade="BF"/>
        </w:rPr>
        <w:t>800-562-6642, option 4.</w:t>
      </w:r>
    </w:p>
    <w:p w14:paraId="22BF4B58" w14:textId="77777777" w:rsidR="00B251E8" w:rsidRPr="00B06CD0" w:rsidRDefault="00B251E8" w:rsidP="00B251E8">
      <w:pPr>
        <w:pStyle w:val="BodyText"/>
        <w:spacing w:after="0"/>
        <w:rPr>
          <w:rFonts w:asciiTheme="minorHAnsi" w:hAnsiTheme="minorHAnsi"/>
          <w:sz w:val="20"/>
        </w:rPr>
      </w:pPr>
    </w:p>
    <w:sectPr w:rsidR="00B251E8" w:rsidRPr="00B06C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B7455" w14:textId="77777777" w:rsidR="00510953" w:rsidRDefault="00510953" w:rsidP="002D7B8C">
      <w:pPr>
        <w:spacing w:after="0" w:line="240" w:lineRule="auto"/>
      </w:pPr>
      <w:r>
        <w:separator/>
      </w:r>
    </w:p>
  </w:endnote>
  <w:endnote w:type="continuationSeparator" w:id="0">
    <w:p w14:paraId="7D89591A" w14:textId="77777777" w:rsidR="00510953" w:rsidRDefault="00510953" w:rsidP="002D7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FCDF3" w14:textId="77777777" w:rsidR="00CF2F98" w:rsidRDefault="00CF2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8DF11" w14:textId="77777777" w:rsidR="00AE206E" w:rsidRDefault="00D407F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3C4A76C8" wp14:editId="0FBBB42C">
              <wp:simplePos x="0" y="0"/>
              <wp:positionH relativeFrom="page">
                <wp:posOffset>3822700</wp:posOffset>
              </wp:positionH>
              <wp:positionV relativeFrom="page">
                <wp:posOffset>9414510</wp:posOffset>
              </wp:positionV>
              <wp:extent cx="127000" cy="194310"/>
              <wp:effectExtent l="3175" t="3810" r="317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7D6B9" w14:textId="77777777" w:rsidR="00AE206E" w:rsidRDefault="00D407F5">
                          <w:pPr>
                            <w:spacing w:before="10"/>
                            <w:ind w:left="40"/>
                            <w:rPr>
                              <w:rFonts w:ascii="Times New Roman"/>
                              <w:sz w:val="24"/>
                            </w:rPr>
                          </w:pPr>
                          <w:r>
                            <w:fldChar w:fldCharType="begin"/>
                          </w:r>
                          <w:r>
                            <w:rPr>
                              <w:rFonts w:ascii="Times New Roman"/>
                              <w:sz w:val="24"/>
                            </w:rPr>
                            <w:instrText xml:space="preserve"> PAGE </w:instrText>
                          </w:r>
                          <w:r>
                            <w:fldChar w:fldCharType="separate"/>
                          </w:r>
                          <w:r w:rsidR="00A24468">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41.3pt;width:10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LvrQ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" filled="f" stroked="f">
              <v:textbox inset="0,0,0,0">
                <w:txbxContent>
                  <w:p w14:paraId="7947D6B9" w14:textId="77777777" w:rsidR="00AE206E" w:rsidRDefault="00D407F5">
                    <w:pPr>
                      <w:spacing w:before="10"/>
                      <w:ind w:left="40"/>
                      <w:rPr>
                        <w:rFonts w:ascii="Times New Roman"/>
                        <w:sz w:val="24"/>
                      </w:rPr>
                    </w:pPr>
                    <w:r>
                      <w:fldChar w:fldCharType="begin"/>
                    </w:r>
                    <w:r>
                      <w:rPr>
                        <w:rFonts w:ascii="Times New Roman"/>
                        <w:sz w:val="24"/>
                      </w:rPr>
                      <w:instrText xml:space="preserve"> PAGE </w:instrText>
                    </w:r>
                    <w:r>
                      <w:fldChar w:fldCharType="separate"/>
                    </w:r>
                    <w:r w:rsidR="00A24468">
                      <w:rPr>
                        <w:rFonts w:ascii="Times New Roman"/>
                        <w:noProof/>
                        <w:sz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36380" w14:textId="77777777" w:rsidR="00CF2F98" w:rsidRDefault="00CF2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DA300" w14:textId="77777777" w:rsidR="00510953" w:rsidRDefault="00510953" w:rsidP="002D7B8C">
      <w:pPr>
        <w:spacing w:after="0" w:line="240" w:lineRule="auto"/>
      </w:pPr>
      <w:r>
        <w:separator/>
      </w:r>
    </w:p>
  </w:footnote>
  <w:footnote w:type="continuationSeparator" w:id="0">
    <w:p w14:paraId="22C5E632" w14:textId="77777777" w:rsidR="00510953" w:rsidRDefault="00510953" w:rsidP="002D7B8C">
      <w:pPr>
        <w:spacing w:after="0" w:line="240" w:lineRule="auto"/>
      </w:pPr>
      <w:r>
        <w:continuationSeparator/>
      </w:r>
    </w:p>
  </w:footnote>
  <w:footnote w:id="1">
    <w:p w14:paraId="71B4E464" w14:textId="1514741A" w:rsidR="00094DE8" w:rsidRPr="00C318F5" w:rsidRDefault="00094DE8" w:rsidP="00094DE8">
      <w:pPr>
        <w:pStyle w:val="FootnoteText"/>
      </w:pPr>
      <w:r>
        <w:rPr>
          <w:rStyle w:val="FootnoteReference"/>
        </w:rPr>
        <w:footnoteRef/>
      </w:r>
      <w:r>
        <w:t xml:space="preserve"> </w:t>
      </w:r>
      <w:proofErr w:type="gramStart"/>
      <w:r>
        <w:t>American Academy of Ophthalmology Cataract and Anterior Segment Panel.</w:t>
      </w:r>
      <w:proofErr w:type="gramEnd"/>
      <w:r>
        <w:t xml:space="preserve"> Preferred Practice Patterns (PPP): Cataract in the Adult Eye </w:t>
      </w:r>
      <w:r w:rsidRPr="00C318F5">
        <w:t>2016</w:t>
      </w:r>
      <w:r w:rsidR="009340E1">
        <w:t>, pages 51-52</w:t>
      </w:r>
      <w:r>
        <w:t xml:space="preserve">, available at </w:t>
      </w:r>
      <w:hyperlink r:id="rId1" w:history="1">
        <w:r w:rsidRPr="00D62D45">
          <w:rPr>
            <w:rStyle w:val="Hyperlink"/>
          </w:rPr>
          <w:t>https://www.aao.org/preferred-practice-pattern/cataract-in-adult-eye-ppp-2016</w:t>
        </w:r>
      </w:hyperlink>
      <w:r>
        <w:t xml:space="preserve">. </w:t>
      </w:r>
    </w:p>
    <w:p w14:paraId="04A9CCAC" w14:textId="65E3DD7D" w:rsidR="00094DE8" w:rsidRDefault="00094DE8">
      <w:pPr>
        <w:pStyle w:val="FootnoteText"/>
      </w:pPr>
    </w:p>
  </w:footnote>
  <w:footnote w:id="2">
    <w:p w14:paraId="556AC2EF" w14:textId="77777777" w:rsidR="006E6E00" w:rsidRDefault="006E6E00" w:rsidP="006E6E00">
      <w:pPr>
        <w:pStyle w:val="FootnoteText"/>
      </w:pPr>
      <w:r w:rsidRPr="002876B9">
        <w:rPr>
          <w:rStyle w:val="FootnoteReference"/>
        </w:rPr>
        <w:footnoteRef/>
      </w:r>
      <w:r w:rsidRPr="002876B9">
        <w:t xml:space="preserve"> See </w:t>
      </w:r>
      <w:hyperlink r:id="rId2" w:history="1">
        <w:r w:rsidRPr="002876B9">
          <w:rPr>
            <w:rStyle w:val="Hyperlink"/>
          </w:rPr>
          <w:t>Sample addendum for same day sequential bilateral surgery</w:t>
        </w:r>
      </w:hyperlink>
      <w:r w:rsidRPr="002876B9">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011CD" w14:textId="77777777" w:rsidR="00CF2F98" w:rsidRDefault="00CF2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72111" w14:textId="2FB7670E" w:rsidR="00CF2F98" w:rsidRDefault="00CF2F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2A50" w14:textId="77777777" w:rsidR="00CF2F98" w:rsidRDefault="00CF2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DB5"/>
    <w:multiLevelType w:val="hybridMultilevel"/>
    <w:tmpl w:val="240E9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F33AD3"/>
    <w:multiLevelType w:val="hybridMultilevel"/>
    <w:tmpl w:val="06402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B02C8"/>
    <w:multiLevelType w:val="hybridMultilevel"/>
    <w:tmpl w:val="E43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773B0"/>
    <w:multiLevelType w:val="hybridMultilevel"/>
    <w:tmpl w:val="68ECA11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E3E5E52"/>
    <w:multiLevelType w:val="hybridMultilevel"/>
    <w:tmpl w:val="678AB0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2A2B13"/>
    <w:multiLevelType w:val="hybridMultilevel"/>
    <w:tmpl w:val="78A2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246373"/>
    <w:multiLevelType w:val="hybridMultilevel"/>
    <w:tmpl w:val="0164A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8B41AD9"/>
    <w:multiLevelType w:val="hybridMultilevel"/>
    <w:tmpl w:val="38928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B206AA"/>
    <w:multiLevelType w:val="hybridMultilevel"/>
    <w:tmpl w:val="9A02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234A1"/>
    <w:multiLevelType w:val="hybridMultilevel"/>
    <w:tmpl w:val="7A826DF2"/>
    <w:lvl w:ilvl="0" w:tplc="3E98B14E">
      <w:start w:val="16"/>
      <w:numFmt w:val="decimal"/>
      <w:lvlText w:val="%1"/>
      <w:lvlJc w:val="left"/>
      <w:pPr>
        <w:ind w:left="220" w:hanging="224"/>
      </w:pPr>
      <w:rPr>
        <w:rFonts w:ascii="Times New Roman" w:eastAsia="Times New Roman" w:hAnsi="Times New Roman" w:cs="Times New Roman" w:hint="default"/>
        <w:spacing w:val="0"/>
        <w:w w:val="100"/>
        <w:position w:val="11"/>
        <w:sz w:val="16"/>
        <w:szCs w:val="16"/>
      </w:rPr>
    </w:lvl>
    <w:lvl w:ilvl="1" w:tplc="6B2CD568">
      <w:numFmt w:val="bullet"/>
      <w:lvlText w:val="•"/>
      <w:lvlJc w:val="left"/>
      <w:pPr>
        <w:ind w:left="1300" w:hanging="224"/>
      </w:pPr>
      <w:rPr>
        <w:rFonts w:hint="default"/>
      </w:rPr>
    </w:lvl>
    <w:lvl w:ilvl="2" w:tplc="762870D0">
      <w:numFmt w:val="bullet"/>
      <w:lvlText w:val="•"/>
      <w:lvlJc w:val="left"/>
      <w:pPr>
        <w:ind w:left="2380" w:hanging="224"/>
      </w:pPr>
      <w:rPr>
        <w:rFonts w:hint="default"/>
      </w:rPr>
    </w:lvl>
    <w:lvl w:ilvl="3" w:tplc="4250550C">
      <w:numFmt w:val="bullet"/>
      <w:lvlText w:val="•"/>
      <w:lvlJc w:val="left"/>
      <w:pPr>
        <w:ind w:left="3460" w:hanging="224"/>
      </w:pPr>
      <w:rPr>
        <w:rFonts w:hint="default"/>
      </w:rPr>
    </w:lvl>
    <w:lvl w:ilvl="4" w:tplc="2BCA3988">
      <w:numFmt w:val="bullet"/>
      <w:lvlText w:val="•"/>
      <w:lvlJc w:val="left"/>
      <w:pPr>
        <w:ind w:left="4540" w:hanging="224"/>
      </w:pPr>
      <w:rPr>
        <w:rFonts w:hint="default"/>
      </w:rPr>
    </w:lvl>
    <w:lvl w:ilvl="5" w:tplc="6B2C0894">
      <w:numFmt w:val="bullet"/>
      <w:lvlText w:val="•"/>
      <w:lvlJc w:val="left"/>
      <w:pPr>
        <w:ind w:left="5620" w:hanging="224"/>
      </w:pPr>
      <w:rPr>
        <w:rFonts w:hint="default"/>
      </w:rPr>
    </w:lvl>
    <w:lvl w:ilvl="6" w:tplc="73FE4362">
      <w:numFmt w:val="bullet"/>
      <w:lvlText w:val="•"/>
      <w:lvlJc w:val="left"/>
      <w:pPr>
        <w:ind w:left="6700" w:hanging="224"/>
      </w:pPr>
      <w:rPr>
        <w:rFonts w:hint="default"/>
      </w:rPr>
    </w:lvl>
    <w:lvl w:ilvl="7" w:tplc="8480AA76">
      <w:numFmt w:val="bullet"/>
      <w:lvlText w:val="•"/>
      <w:lvlJc w:val="left"/>
      <w:pPr>
        <w:ind w:left="7780" w:hanging="224"/>
      </w:pPr>
      <w:rPr>
        <w:rFonts w:hint="default"/>
      </w:rPr>
    </w:lvl>
    <w:lvl w:ilvl="8" w:tplc="EA0A3DFE">
      <w:numFmt w:val="bullet"/>
      <w:lvlText w:val="•"/>
      <w:lvlJc w:val="left"/>
      <w:pPr>
        <w:ind w:left="8860" w:hanging="224"/>
      </w:pPr>
      <w:rPr>
        <w:rFonts w:hint="default"/>
      </w:rPr>
    </w:lvl>
  </w:abstractNum>
  <w:abstractNum w:abstractNumId="10">
    <w:nsid w:val="4B5C5A76"/>
    <w:multiLevelType w:val="hybridMultilevel"/>
    <w:tmpl w:val="496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5C342B"/>
    <w:multiLevelType w:val="hybridMultilevel"/>
    <w:tmpl w:val="3906F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17E2718"/>
    <w:multiLevelType w:val="hybridMultilevel"/>
    <w:tmpl w:val="DE9CC394"/>
    <w:lvl w:ilvl="0" w:tplc="BCACBD14">
      <w:numFmt w:val="bullet"/>
      <w:lvlText w:val=""/>
      <w:lvlJc w:val="left"/>
      <w:pPr>
        <w:ind w:left="1300" w:hanging="361"/>
      </w:pPr>
      <w:rPr>
        <w:rFonts w:ascii="Symbol" w:eastAsia="Symbol" w:hAnsi="Symbol" w:cs="Symbol" w:hint="default"/>
        <w:w w:val="100"/>
        <w:sz w:val="22"/>
        <w:szCs w:val="22"/>
      </w:rPr>
    </w:lvl>
    <w:lvl w:ilvl="1" w:tplc="57945A8A">
      <w:numFmt w:val="bullet"/>
      <w:lvlText w:val="o"/>
      <w:lvlJc w:val="left"/>
      <w:pPr>
        <w:ind w:left="2020" w:hanging="361"/>
      </w:pPr>
      <w:rPr>
        <w:rFonts w:ascii="Courier New" w:eastAsia="Courier New" w:hAnsi="Courier New" w:cs="Courier New" w:hint="default"/>
        <w:w w:val="100"/>
        <w:sz w:val="22"/>
        <w:szCs w:val="22"/>
      </w:rPr>
    </w:lvl>
    <w:lvl w:ilvl="2" w:tplc="BB4E3B12">
      <w:numFmt w:val="bullet"/>
      <w:lvlText w:val="•"/>
      <w:lvlJc w:val="left"/>
      <w:pPr>
        <w:ind w:left="3100" w:hanging="361"/>
      </w:pPr>
      <w:rPr>
        <w:rFonts w:hint="default"/>
      </w:rPr>
    </w:lvl>
    <w:lvl w:ilvl="3" w:tplc="A2B81BD6">
      <w:numFmt w:val="bullet"/>
      <w:lvlText w:val="•"/>
      <w:lvlJc w:val="left"/>
      <w:pPr>
        <w:ind w:left="4180" w:hanging="361"/>
      </w:pPr>
      <w:rPr>
        <w:rFonts w:hint="default"/>
      </w:rPr>
    </w:lvl>
    <w:lvl w:ilvl="4" w:tplc="30081BBA">
      <w:numFmt w:val="bullet"/>
      <w:lvlText w:val="•"/>
      <w:lvlJc w:val="left"/>
      <w:pPr>
        <w:ind w:left="5260" w:hanging="361"/>
      </w:pPr>
      <w:rPr>
        <w:rFonts w:hint="default"/>
      </w:rPr>
    </w:lvl>
    <w:lvl w:ilvl="5" w:tplc="0B448228">
      <w:numFmt w:val="bullet"/>
      <w:lvlText w:val="•"/>
      <w:lvlJc w:val="left"/>
      <w:pPr>
        <w:ind w:left="6340" w:hanging="361"/>
      </w:pPr>
      <w:rPr>
        <w:rFonts w:hint="default"/>
      </w:rPr>
    </w:lvl>
    <w:lvl w:ilvl="6" w:tplc="D2FC9786">
      <w:numFmt w:val="bullet"/>
      <w:lvlText w:val="•"/>
      <w:lvlJc w:val="left"/>
      <w:pPr>
        <w:ind w:left="7420" w:hanging="361"/>
      </w:pPr>
      <w:rPr>
        <w:rFonts w:hint="default"/>
      </w:rPr>
    </w:lvl>
    <w:lvl w:ilvl="7" w:tplc="6464D67E">
      <w:numFmt w:val="bullet"/>
      <w:lvlText w:val="•"/>
      <w:lvlJc w:val="left"/>
      <w:pPr>
        <w:ind w:left="8500" w:hanging="361"/>
      </w:pPr>
      <w:rPr>
        <w:rFonts w:hint="default"/>
      </w:rPr>
    </w:lvl>
    <w:lvl w:ilvl="8" w:tplc="1DA0FC40">
      <w:numFmt w:val="bullet"/>
      <w:lvlText w:val="•"/>
      <w:lvlJc w:val="left"/>
      <w:pPr>
        <w:ind w:left="9580" w:hanging="361"/>
      </w:pPr>
      <w:rPr>
        <w:rFonts w:hint="default"/>
      </w:rPr>
    </w:lvl>
  </w:abstractNum>
  <w:abstractNum w:abstractNumId="13">
    <w:nsid w:val="55DD516E"/>
    <w:multiLevelType w:val="hybridMultilevel"/>
    <w:tmpl w:val="42DC8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FC5250"/>
    <w:multiLevelType w:val="hybridMultilevel"/>
    <w:tmpl w:val="221E62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8FF6A4C"/>
    <w:multiLevelType w:val="hybridMultilevel"/>
    <w:tmpl w:val="4F88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B1E59"/>
    <w:multiLevelType w:val="hybridMultilevel"/>
    <w:tmpl w:val="C142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8257C0"/>
    <w:multiLevelType w:val="hybridMultilevel"/>
    <w:tmpl w:val="6A22F6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2"/>
  </w:num>
  <w:num w:numId="3">
    <w:abstractNumId w:val="1"/>
  </w:num>
  <w:num w:numId="4">
    <w:abstractNumId w:val="5"/>
  </w:num>
  <w:num w:numId="5">
    <w:abstractNumId w:val="8"/>
  </w:num>
  <w:num w:numId="6">
    <w:abstractNumId w:val="16"/>
  </w:num>
  <w:num w:numId="7">
    <w:abstractNumId w:val="7"/>
  </w:num>
  <w:num w:numId="8">
    <w:abstractNumId w:val="13"/>
  </w:num>
  <w:num w:numId="9">
    <w:abstractNumId w:val="10"/>
  </w:num>
  <w:num w:numId="10">
    <w:abstractNumId w:val="15"/>
  </w:num>
  <w:num w:numId="11">
    <w:abstractNumId w:val="0"/>
  </w:num>
  <w:num w:numId="12">
    <w:abstractNumId w:val="2"/>
  </w:num>
  <w:num w:numId="13">
    <w:abstractNumId w:val="3"/>
  </w:num>
  <w:num w:numId="14">
    <w:abstractNumId w:val="11"/>
  </w:num>
  <w:num w:numId="15">
    <w:abstractNumId w:val="17"/>
  </w:num>
  <w:num w:numId="16">
    <w:abstractNumId w:val="6"/>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0F"/>
    <w:rsid w:val="00003B01"/>
    <w:rsid w:val="000437A1"/>
    <w:rsid w:val="00056B80"/>
    <w:rsid w:val="00062B99"/>
    <w:rsid w:val="00094DE8"/>
    <w:rsid w:val="000C50B3"/>
    <w:rsid w:val="000D76BA"/>
    <w:rsid w:val="000E71AD"/>
    <w:rsid w:val="000F7D05"/>
    <w:rsid w:val="0016257F"/>
    <w:rsid w:val="00180AA4"/>
    <w:rsid w:val="002411D3"/>
    <w:rsid w:val="00246852"/>
    <w:rsid w:val="002504C0"/>
    <w:rsid w:val="00260737"/>
    <w:rsid w:val="00267A46"/>
    <w:rsid w:val="00286353"/>
    <w:rsid w:val="002876B9"/>
    <w:rsid w:val="002B77CE"/>
    <w:rsid w:val="002D7B8C"/>
    <w:rsid w:val="002E47CA"/>
    <w:rsid w:val="00356D98"/>
    <w:rsid w:val="003B563A"/>
    <w:rsid w:val="004005F1"/>
    <w:rsid w:val="00424A66"/>
    <w:rsid w:val="004303CA"/>
    <w:rsid w:val="004643C6"/>
    <w:rsid w:val="00474703"/>
    <w:rsid w:val="00486D38"/>
    <w:rsid w:val="00492192"/>
    <w:rsid w:val="004C0F61"/>
    <w:rsid w:val="004D131D"/>
    <w:rsid w:val="00510953"/>
    <w:rsid w:val="00526626"/>
    <w:rsid w:val="005402D4"/>
    <w:rsid w:val="00544578"/>
    <w:rsid w:val="005D0143"/>
    <w:rsid w:val="00611F13"/>
    <w:rsid w:val="0061469A"/>
    <w:rsid w:val="00674447"/>
    <w:rsid w:val="006C1708"/>
    <w:rsid w:val="006C27A7"/>
    <w:rsid w:val="006E6E00"/>
    <w:rsid w:val="0077263F"/>
    <w:rsid w:val="00773404"/>
    <w:rsid w:val="0078632D"/>
    <w:rsid w:val="0079138C"/>
    <w:rsid w:val="00797C54"/>
    <w:rsid w:val="007A0A8E"/>
    <w:rsid w:val="007A0F1D"/>
    <w:rsid w:val="007D6243"/>
    <w:rsid w:val="00861469"/>
    <w:rsid w:val="008740B7"/>
    <w:rsid w:val="00874AA8"/>
    <w:rsid w:val="008A6DB0"/>
    <w:rsid w:val="00904B10"/>
    <w:rsid w:val="009340E1"/>
    <w:rsid w:val="009615A2"/>
    <w:rsid w:val="00975C27"/>
    <w:rsid w:val="009B1AA0"/>
    <w:rsid w:val="009B6D0F"/>
    <w:rsid w:val="009F3000"/>
    <w:rsid w:val="00A24468"/>
    <w:rsid w:val="00AD659D"/>
    <w:rsid w:val="00AE24D1"/>
    <w:rsid w:val="00B2378F"/>
    <w:rsid w:val="00B251E8"/>
    <w:rsid w:val="00B746B5"/>
    <w:rsid w:val="00B83673"/>
    <w:rsid w:val="00B924DB"/>
    <w:rsid w:val="00BD1C77"/>
    <w:rsid w:val="00C10551"/>
    <w:rsid w:val="00C318F5"/>
    <w:rsid w:val="00C4513F"/>
    <w:rsid w:val="00C461A6"/>
    <w:rsid w:val="00C83A9E"/>
    <w:rsid w:val="00CF2F98"/>
    <w:rsid w:val="00D0399D"/>
    <w:rsid w:val="00D407F5"/>
    <w:rsid w:val="00D52F10"/>
    <w:rsid w:val="00D61836"/>
    <w:rsid w:val="00E050A9"/>
    <w:rsid w:val="00E06840"/>
    <w:rsid w:val="00E165C0"/>
    <w:rsid w:val="00E23849"/>
    <w:rsid w:val="00E41A95"/>
    <w:rsid w:val="00EE6B5E"/>
    <w:rsid w:val="00EF2AEC"/>
    <w:rsid w:val="00F46218"/>
    <w:rsid w:val="00F70102"/>
    <w:rsid w:val="00F96499"/>
    <w:rsid w:val="00FA7A78"/>
    <w:rsid w:val="00FF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26D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24D1"/>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251E8"/>
    <w:pPr>
      <w:widowControl w:val="0"/>
      <w:autoSpaceDE w:val="0"/>
      <w:autoSpaceDN w:val="0"/>
      <w:spacing w:after="0" w:line="240" w:lineRule="auto"/>
      <w:ind w:left="22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0F"/>
    <w:rPr>
      <w:rFonts w:ascii="Tahoma" w:hAnsi="Tahoma" w:cs="Tahoma"/>
      <w:sz w:val="16"/>
      <w:szCs w:val="16"/>
    </w:rPr>
  </w:style>
  <w:style w:type="paragraph" w:styleId="BodyText">
    <w:name w:val="Body Text"/>
    <w:basedOn w:val="Normal"/>
    <w:link w:val="BodyTextChar"/>
    <w:rsid w:val="00B746B5"/>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B746B5"/>
    <w:rPr>
      <w:rFonts w:ascii="Times" w:eastAsia="Times" w:hAnsi="Times" w:cs="Times New Roman"/>
      <w:sz w:val="24"/>
      <w:szCs w:val="20"/>
    </w:rPr>
  </w:style>
  <w:style w:type="character" w:customStyle="1" w:styleId="Heading2Char">
    <w:name w:val="Heading 2 Char"/>
    <w:basedOn w:val="DefaultParagraphFont"/>
    <w:link w:val="Heading2"/>
    <w:uiPriority w:val="1"/>
    <w:rsid w:val="00B251E8"/>
    <w:rPr>
      <w:rFonts w:ascii="Arial" w:eastAsia="Arial" w:hAnsi="Arial" w:cs="Arial"/>
      <w:b/>
      <w:bCs/>
      <w:sz w:val="24"/>
      <w:szCs w:val="24"/>
    </w:rPr>
  </w:style>
  <w:style w:type="paragraph" w:styleId="ListParagraph">
    <w:name w:val="List Paragraph"/>
    <w:basedOn w:val="Normal"/>
    <w:uiPriority w:val="1"/>
    <w:qFormat/>
    <w:rsid w:val="00B251E8"/>
    <w:pPr>
      <w:widowControl w:val="0"/>
      <w:autoSpaceDE w:val="0"/>
      <w:autoSpaceDN w:val="0"/>
      <w:spacing w:after="0" w:line="240" w:lineRule="auto"/>
      <w:ind w:left="580" w:hanging="360"/>
    </w:pPr>
    <w:rPr>
      <w:rFonts w:ascii="Arial" w:eastAsia="Arial" w:hAnsi="Arial" w:cs="Arial"/>
    </w:rPr>
  </w:style>
  <w:style w:type="character" w:styleId="CommentReference">
    <w:name w:val="annotation reference"/>
    <w:basedOn w:val="DefaultParagraphFont"/>
    <w:uiPriority w:val="99"/>
    <w:semiHidden/>
    <w:unhideWhenUsed/>
    <w:rsid w:val="00B251E8"/>
    <w:rPr>
      <w:sz w:val="16"/>
      <w:szCs w:val="16"/>
    </w:rPr>
  </w:style>
  <w:style w:type="paragraph" w:styleId="CommentText">
    <w:name w:val="annotation text"/>
    <w:basedOn w:val="Normal"/>
    <w:link w:val="CommentTextChar"/>
    <w:uiPriority w:val="99"/>
    <w:semiHidden/>
    <w:unhideWhenUsed/>
    <w:rsid w:val="00B251E8"/>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B251E8"/>
    <w:rPr>
      <w:rFonts w:ascii="Arial" w:eastAsia="Arial" w:hAnsi="Arial" w:cs="Arial"/>
      <w:sz w:val="20"/>
      <w:szCs w:val="20"/>
    </w:rPr>
  </w:style>
  <w:style w:type="character" w:styleId="Hyperlink">
    <w:name w:val="Hyperlink"/>
    <w:basedOn w:val="DefaultParagraphFont"/>
    <w:uiPriority w:val="99"/>
    <w:unhideWhenUsed/>
    <w:rsid w:val="00003B01"/>
    <w:rPr>
      <w:color w:val="0000FF" w:themeColor="hyperlink"/>
      <w:u w:val="single"/>
    </w:rPr>
  </w:style>
  <w:style w:type="paragraph" w:styleId="FootnoteText">
    <w:name w:val="footnote text"/>
    <w:basedOn w:val="Normal"/>
    <w:link w:val="FootnoteTextChar"/>
    <w:uiPriority w:val="99"/>
    <w:semiHidden/>
    <w:unhideWhenUsed/>
    <w:rsid w:val="002D7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B8C"/>
    <w:rPr>
      <w:sz w:val="20"/>
      <w:szCs w:val="20"/>
    </w:rPr>
  </w:style>
  <w:style w:type="character" w:styleId="FootnoteReference">
    <w:name w:val="footnote reference"/>
    <w:basedOn w:val="DefaultParagraphFont"/>
    <w:uiPriority w:val="99"/>
    <w:semiHidden/>
    <w:unhideWhenUsed/>
    <w:rsid w:val="002D7B8C"/>
    <w:rPr>
      <w:vertAlign w:val="superscript"/>
    </w:rPr>
  </w:style>
  <w:style w:type="character" w:customStyle="1" w:styleId="Heading1Char">
    <w:name w:val="Heading 1 Char"/>
    <w:basedOn w:val="DefaultParagraphFont"/>
    <w:link w:val="Heading1"/>
    <w:uiPriority w:val="9"/>
    <w:rsid w:val="00AE24D1"/>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AE24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4D1"/>
    <w:rPr>
      <w:sz w:val="20"/>
      <w:szCs w:val="20"/>
    </w:rPr>
  </w:style>
  <w:style w:type="character" w:styleId="EndnoteReference">
    <w:name w:val="endnote reference"/>
    <w:basedOn w:val="DefaultParagraphFont"/>
    <w:uiPriority w:val="99"/>
    <w:semiHidden/>
    <w:unhideWhenUsed/>
    <w:rsid w:val="00AE24D1"/>
    <w:rPr>
      <w:vertAlign w:val="superscript"/>
    </w:rPr>
  </w:style>
  <w:style w:type="paragraph" w:styleId="CommentSubject">
    <w:name w:val="annotation subject"/>
    <w:basedOn w:val="CommentText"/>
    <w:next w:val="CommentText"/>
    <w:link w:val="CommentSubjectChar"/>
    <w:uiPriority w:val="99"/>
    <w:semiHidden/>
    <w:unhideWhenUsed/>
    <w:rsid w:val="0078632D"/>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632D"/>
    <w:rPr>
      <w:rFonts w:ascii="Arial" w:eastAsia="Arial" w:hAnsi="Arial" w:cs="Arial"/>
      <w:b/>
      <w:bCs/>
      <w:sz w:val="20"/>
      <w:szCs w:val="20"/>
    </w:rPr>
  </w:style>
  <w:style w:type="paragraph" w:styleId="Header">
    <w:name w:val="header"/>
    <w:basedOn w:val="Normal"/>
    <w:link w:val="HeaderChar"/>
    <w:uiPriority w:val="99"/>
    <w:unhideWhenUsed/>
    <w:rsid w:val="00267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A46"/>
  </w:style>
  <w:style w:type="paragraph" w:styleId="Footer">
    <w:name w:val="footer"/>
    <w:basedOn w:val="Normal"/>
    <w:link w:val="FooterChar"/>
    <w:uiPriority w:val="99"/>
    <w:unhideWhenUsed/>
    <w:rsid w:val="00267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46"/>
  </w:style>
  <w:style w:type="character" w:styleId="FollowedHyperlink">
    <w:name w:val="FollowedHyperlink"/>
    <w:basedOn w:val="DefaultParagraphFont"/>
    <w:uiPriority w:val="99"/>
    <w:semiHidden/>
    <w:unhideWhenUsed/>
    <w:rsid w:val="00C451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24D1"/>
    <w:pPr>
      <w:keepNext/>
      <w:keepLines/>
      <w:widowControl w:val="0"/>
      <w:autoSpaceDE w:val="0"/>
      <w:autoSpaceDN w:val="0"/>
      <w:adjustRightInd w:val="0"/>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251E8"/>
    <w:pPr>
      <w:widowControl w:val="0"/>
      <w:autoSpaceDE w:val="0"/>
      <w:autoSpaceDN w:val="0"/>
      <w:spacing w:after="0" w:line="240" w:lineRule="auto"/>
      <w:ind w:left="22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6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0F"/>
    <w:rPr>
      <w:rFonts w:ascii="Tahoma" w:hAnsi="Tahoma" w:cs="Tahoma"/>
      <w:sz w:val="16"/>
      <w:szCs w:val="16"/>
    </w:rPr>
  </w:style>
  <w:style w:type="paragraph" w:styleId="BodyText">
    <w:name w:val="Body Text"/>
    <w:basedOn w:val="Normal"/>
    <w:link w:val="BodyTextChar"/>
    <w:rsid w:val="00B746B5"/>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B746B5"/>
    <w:rPr>
      <w:rFonts w:ascii="Times" w:eastAsia="Times" w:hAnsi="Times" w:cs="Times New Roman"/>
      <w:sz w:val="24"/>
      <w:szCs w:val="20"/>
    </w:rPr>
  </w:style>
  <w:style w:type="character" w:customStyle="1" w:styleId="Heading2Char">
    <w:name w:val="Heading 2 Char"/>
    <w:basedOn w:val="DefaultParagraphFont"/>
    <w:link w:val="Heading2"/>
    <w:uiPriority w:val="1"/>
    <w:rsid w:val="00B251E8"/>
    <w:rPr>
      <w:rFonts w:ascii="Arial" w:eastAsia="Arial" w:hAnsi="Arial" w:cs="Arial"/>
      <w:b/>
      <w:bCs/>
      <w:sz w:val="24"/>
      <w:szCs w:val="24"/>
    </w:rPr>
  </w:style>
  <w:style w:type="paragraph" w:styleId="ListParagraph">
    <w:name w:val="List Paragraph"/>
    <w:basedOn w:val="Normal"/>
    <w:uiPriority w:val="1"/>
    <w:qFormat/>
    <w:rsid w:val="00B251E8"/>
    <w:pPr>
      <w:widowControl w:val="0"/>
      <w:autoSpaceDE w:val="0"/>
      <w:autoSpaceDN w:val="0"/>
      <w:spacing w:after="0" w:line="240" w:lineRule="auto"/>
      <w:ind w:left="580" w:hanging="360"/>
    </w:pPr>
    <w:rPr>
      <w:rFonts w:ascii="Arial" w:eastAsia="Arial" w:hAnsi="Arial" w:cs="Arial"/>
    </w:rPr>
  </w:style>
  <w:style w:type="character" w:styleId="CommentReference">
    <w:name w:val="annotation reference"/>
    <w:basedOn w:val="DefaultParagraphFont"/>
    <w:uiPriority w:val="99"/>
    <w:semiHidden/>
    <w:unhideWhenUsed/>
    <w:rsid w:val="00B251E8"/>
    <w:rPr>
      <w:sz w:val="16"/>
      <w:szCs w:val="16"/>
    </w:rPr>
  </w:style>
  <w:style w:type="paragraph" w:styleId="CommentText">
    <w:name w:val="annotation text"/>
    <w:basedOn w:val="Normal"/>
    <w:link w:val="CommentTextChar"/>
    <w:uiPriority w:val="99"/>
    <w:semiHidden/>
    <w:unhideWhenUsed/>
    <w:rsid w:val="00B251E8"/>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B251E8"/>
    <w:rPr>
      <w:rFonts w:ascii="Arial" w:eastAsia="Arial" w:hAnsi="Arial" w:cs="Arial"/>
      <w:sz w:val="20"/>
      <w:szCs w:val="20"/>
    </w:rPr>
  </w:style>
  <w:style w:type="character" w:styleId="Hyperlink">
    <w:name w:val="Hyperlink"/>
    <w:basedOn w:val="DefaultParagraphFont"/>
    <w:uiPriority w:val="99"/>
    <w:unhideWhenUsed/>
    <w:rsid w:val="00003B01"/>
    <w:rPr>
      <w:color w:val="0000FF" w:themeColor="hyperlink"/>
      <w:u w:val="single"/>
    </w:rPr>
  </w:style>
  <w:style w:type="paragraph" w:styleId="FootnoteText">
    <w:name w:val="footnote text"/>
    <w:basedOn w:val="Normal"/>
    <w:link w:val="FootnoteTextChar"/>
    <w:uiPriority w:val="99"/>
    <w:semiHidden/>
    <w:unhideWhenUsed/>
    <w:rsid w:val="002D7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7B8C"/>
    <w:rPr>
      <w:sz w:val="20"/>
      <w:szCs w:val="20"/>
    </w:rPr>
  </w:style>
  <w:style w:type="character" w:styleId="FootnoteReference">
    <w:name w:val="footnote reference"/>
    <w:basedOn w:val="DefaultParagraphFont"/>
    <w:uiPriority w:val="99"/>
    <w:semiHidden/>
    <w:unhideWhenUsed/>
    <w:rsid w:val="002D7B8C"/>
    <w:rPr>
      <w:vertAlign w:val="superscript"/>
    </w:rPr>
  </w:style>
  <w:style w:type="character" w:customStyle="1" w:styleId="Heading1Char">
    <w:name w:val="Heading 1 Char"/>
    <w:basedOn w:val="DefaultParagraphFont"/>
    <w:link w:val="Heading1"/>
    <w:uiPriority w:val="9"/>
    <w:rsid w:val="00AE24D1"/>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AE24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4D1"/>
    <w:rPr>
      <w:sz w:val="20"/>
      <w:szCs w:val="20"/>
    </w:rPr>
  </w:style>
  <w:style w:type="character" w:styleId="EndnoteReference">
    <w:name w:val="endnote reference"/>
    <w:basedOn w:val="DefaultParagraphFont"/>
    <w:uiPriority w:val="99"/>
    <w:semiHidden/>
    <w:unhideWhenUsed/>
    <w:rsid w:val="00AE24D1"/>
    <w:rPr>
      <w:vertAlign w:val="superscript"/>
    </w:rPr>
  </w:style>
  <w:style w:type="paragraph" w:styleId="CommentSubject">
    <w:name w:val="annotation subject"/>
    <w:basedOn w:val="CommentText"/>
    <w:next w:val="CommentText"/>
    <w:link w:val="CommentSubjectChar"/>
    <w:uiPriority w:val="99"/>
    <w:semiHidden/>
    <w:unhideWhenUsed/>
    <w:rsid w:val="0078632D"/>
    <w:pPr>
      <w:widowControl/>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8632D"/>
    <w:rPr>
      <w:rFonts w:ascii="Arial" w:eastAsia="Arial" w:hAnsi="Arial" w:cs="Arial"/>
      <w:b/>
      <w:bCs/>
      <w:sz w:val="20"/>
      <w:szCs w:val="20"/>
    </w:rPr>
  </w:style>
  <w:style w:type="paragraph" w:styleId="Header">
    <w:name w:val="header"/>
    <w:basedOn w:val="Normal"/>
    <w:link w:val="HeaderChar"/>
    <w:uiPriority w:val="99"/>
    <w:unhideWhenUsed/>
    <w:rsid w:val="00267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A46"/>
  </w:style>
  <w:style w:type="paragraph" w:styleId="Footer">
    <w:name w:val="footer"/>
    <w:basedOn w:val="Normal"/>
    <w:link w:val="FooterChar"/>
    <w:uiPriority w:val="99"/>
    <w:unhideWhenUsed/>
    <w:rsid w:val="00267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A46"/>
  </w:style>
  <w:style w:type="character" w:styleId="FollowedHyperlink">
    <w:name w:val="FollowedHyperlink"/>
    <w:basedOn w:val="DefaultParagraphFont"/>
    <w:uiPriority w:val="99"/>
    <w:semiHidden/>
    <w:unhideWhenUsed/>
    <w:rsid w:val="00C45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iskmanagement@omic.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omic.com/cataract-same-day-sequential-bilateral-surgery-addendum-consent/" TargetMode="External"/><Relationship Id="rId1" Type="http://schemas.openxmlformats.org/officeDocument/2006/relationships/hyperlink" Target="https://www.aao.org/preferred-practice-pattern/cataract-in-adult-eye-ppp-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C38A8-A2E3-442E-A48D-72A366DF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Widi</dc:creator>
  <cp:lastModifiedBy>Robert Widi</cp:lastModifiedBy>
  <cp:revision>2</cp:revision>
  <dcterms:created xsi:type="dcterms:W3CDTF">2019-01-07T17:52:00Z</dcterms:created>
  <dcterms:modified xsi:type="dcterms:W3CDTF">2019-01-07T17:52:00Z</dcterms:modified>
</cp:coreProperties>
</file>