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20B" w:rsidRPr="00581EFC" w:rsidRDefault="00BA5A1C" w:rsidP="00581EFC">
      <w:pPr>
        <w:spacing w:after="0" w:line="240" w:lineRule="auto"/>
        <w:jc w:val="center"/>
        <w:rPr>
          <w:rFonts w:ascii="Palatino Linotype" w:hAnsi="Palatino Linotype"/>
          <w:b/>
        </w:rPr>
      </w:pPr>
      <w:r>
        <w:rPr>
          <w:rFonts w:ascii="Palatino Linotype" w:hAnsi="Palatino Linotype"/>
          <w:b/>
        </w:rPr>
        <w:t xml:space="preserve"> </w:t>
      </w:r>
      <w:r w:rsidR="009D56A3">
        <w:rPr>
          <w:rFonts w:ascii="Palatino Linotype" w:hAnsi="Palatino Linotype"/>
          <w:b/>
        </w:rPr>
        <w:t>“</w:t>
      </w:r>
      <w:r w:rsidR="008A2E70" w:rsidRPr="00581EFC">
        <w:rPr>
          <w:rFonts w:ascii="Palatino Linotype" w:hAnsi="Palatino Linotype"/>
          <w:b/>
        </w:rPr>
        <w:t>Top Ten</w:t>
      </w:r>
      <w:r w:rsidR="009D56A3">
        <w:rPr>
          <w:rFonts w:ascii="Palatino Linotype" w:hAnsi="Palatino Linotype"/>
          <w:b/>
        </w:rPr>
        <w:t>”</w:t>
      </w:r>
      <w:r w:rsidR="00A6520B" w:rsidRPr="00581EFC">
        <w:rPr>
          <w:rFonts w:ascii="Palatino Linotype" w:hAnsi="Palatino Linotype"/>
          <w:b/>
        </w:rPr>
        <w:t xml:space="preserve"> </w:t>
      </w:r>
      <w:r w:rsidR="009D56A3">
        <w:rPr>
          <w:rFonts w:ascii="Palatino Linotype" w:hAnsi="Palatino Linotype"/>
          <w:b/>
        </w:rPr>
        <w:t>Lessons Learned</w:t>
      </w:r>
    </w:p>
    <w:p w:rsidR="00A6520B" w:rsidRDefault="00A6520B" w:rsidP="00581EFC">
      <w:pPr>
        <w:spacing w:after="0" w:line="240" w:lineRule="auto"/>
        <w:jc w:val="center"/>
        <w:rPr>
          <w:rFonts w:ascii="Palatino Linotype" w:hAnsi="Palatino Linotype"/>
          <w:b/>
        </w:rPr>
      </w:pPr>
      <w:r w:rsidRPr="00581EFC">
        <w:rPr>
          <w:rFonts w:ascii="Palatino Linotype" w:hAnsi="Palatino Linotype"/>
          <w:b/>
        </w:rPr>
        <w:t>Steven I Rosenfeld, MD, FACS</w:t>
      </w:r>
    </w:p>
    <w:p w:rsidR="00581EFC" w:rsidRPr="00581EFC" w:rsidRDefault="00581EFC" w:rsidP="00581EFC">
      <w:pPr>
        <w:spacing w:after="0" w:line="240" w:lineRule="auto"/>
        <w:jc w:val="center"/>
        <w:rPr>
          <w:rFonts w:ascii="Palatino Linotype" w:hAnsi="Palatino Linotype"/>
          <w:b/>
        </w:rPr>
      </w:pPr>
    </w:p>
    <w:p w:rsidR="00A6520B" w:rsidRPr="00581EFC" w:rsidRDefault="00A6520B" w:rsidP="007D611B">
      <w:pPr>
        <w:pStyle w:val="ListParagraph"/>
        <w:rPr>
          <w:rFonts w:ascii="Palatino Linotype" w:hAnsi="Palatino Linotype"/>
        </w:rPr>
      </w:pPr>
      <w:r w:rsidRPr="00581EFC">
        <w:rPr>
          <w:rFonts w:ascii="Palatino Linotype" w:hAnsi="Palatino Linotype"/>
        </w:rPr>
        <w:t xml:space="preserve">On a yearly basis, </w:t>
      </w:r>
      <w:r w:rsidR="00A80242">
        <w:rPr>
          <w:rFonts w:ascii="Palatino Linotype" w:hAnsi="Palatino Linotype"/>
        </w:rPr>
        <w:t xml:space="preserve">approximately </w:t>
      </w:r>
      <w:r w:rsidRPr="00581EFC">
        <w:rPr>
          <w:rFonts w:ascii="Palatino Linotype" w:hAnsi="Palatino Linotype"/>
        </w:rPr>
        <w:t xml:space="preserve">7.4% of all physicians </w:t>
      </w:r>
      <w:r w:rsidR="00A80242">
        <w:rPr>
          <w:rFonts w:ascii="Palatino Linotype" w:hAnsi="Palatino Linotype"/>
        </w:rPr>
        <w:t xml:space="preserve">incur </w:t>
      </w:r>
      <w:r w:rsidRPr="00581EFC">
        <w:rPr>
          <w:rFonts w:ascii="Palatino Linotype" w:hAnsi="Palatino Linotype"/>
        </w:rPr>
        <w:t xml:space="preserve">a malpractice claim.  By the age of 65, 75% of physicians in </w:t>
      </w:r>
      <w:r w:rsidR="00134D89">
        <w:rPr>
          <w:rFonts w:ascii="Palatino Linotype" w:hAnsi="Palatino Linotype"/>
        </w:rPr>
        <w:t xml:space="preserve">a </w:t>
      </w:r>
      <w:r w:rsidR="00A80242">
        <w:rPr>
          <w:rFonts w:ascii="Palatino Linotype" w:hAnsi="Palatino Linotype"/>
        </w:rPr>
        <w:t xml:space="preserve">“relatively” </w:t>
      </w:r>
      <w:r w:rsidRPr="00581EFC">
        <w:rPr>
          <w:rFonts w:ascii="Palatino Linotype" w:hAnsi="Palatino Linotype"/>
        </w:rPr>
        <w:t>low risk specialt</w:t>
      </w:r>
      <w:r w:rsidR="00134D89">
        <w:rPr>
          <w:rFonts w:ascii="Palatino Linotype" w:hAnsi="Palatino Linotype"/>
        </w:rPr>
        <w:t>y</w:t>
      </w:r>
      <w:r w:rsidRPr="00581EFC">
        <w:rPr>
          <w:rFonts w:ascii="Palatino Linotype" w:hAnsi="Palatino Linotype"/>
        </w:rPr>
        <w:t xml:space="preserve"> like ophthalmology will be in</w:t>
      </w:r>
      <w:r w:rsidR="00A80242">
        <w:rPr>
          <w:rFonts w:ascii="Palatino Linotype" w:hAnsi="Palatino Linotype"/>
        </w:rPr>
        <w:t xml:space="preserve">volved in a malpractice claim. </w:t>
      </w:r>
      <w:r w:rsidRPr="00A80242">
        <w:rPr>
          <w:rFonts w:ascii="Palatino Linotype" w:hAnsi="Palatino Linotype"/>
        </w:rPr>
        <w:t>(</w:t>
      </w:r>
      <w:r w:rsidR="00A80242">
        <w:rPr>
          <w:rFonts w:ascii="Palatino Linotype" w:hAnsi="Palatino Linotype"/>
        </w:rPr>
        <w:t xml:space="preserve">New England Journal of Medicine </w:t>
      </w:r>
      <w:r w:rsidR="00A80242" w:rsidRPr="00A80242">
        <w:rPr>
          <w:rFonts w:ascii="Palatino Linotype" w:hAnsi="Palatino Linotype" w:cs="OTNEJMScalaSansOSF"/>
        </w:rPr>
        <w:t>365;</w:t>
      </w:r>
      <w:r w:rsidR="00134D89">
        <w:rPr>
          <w:rFonts w:ascii="Palatino Linotype" w:hAnsi="Palatino Linotype" w:cs="OTNEJMScalaSansOSF"/>
        </w:rPr>
        <w:t xml:space="preserve"> </w:t>
      </w:r>
      <w:proofErr w:type="gramStart"/>
      <w:r w:rsidR="00A80242" w:rsidRPr="00A80242">
        <w:rPr>
          <w:rFonts w:ascii="Palatino Linotype" w:hAnsi="Palatino Linotype" w:cs="OTNEJMScalaSansOSF"/>
        </w:rPr>
        <w:t xml:space="preserve">7 </w:t>
      </w:r>
      <w:r w:rsidR="00A80242" w:rsidRPr="00A80242">
        <w:rPr>
          <w:rFonts w:ascii="Palatino Linotype" w:hAnsi="Palatino Linotype" w:cs="OTNEJMScalaSansLFCap"/>
        </w:rPr>
        <w:t xml:space="preserve">nejm.org </w:t>
      </w:r>
      <w:r w:rsidR="00134D89">
        <w:rPr>
          <w:rFonts w:ascii="Palatino Linotype" w:hAnsi="Palatino Linotype" w:cs="OTNEJMScalaSansLFCap"/>
        </w:rPr>
        <w:t>A</w:t>
      </w:r>
      <w:r w:rsidR="00A80242" w:rsidRPr="00A80242">
        <w:rPr>
          <w:rFonts w:ascii="Palatino Linotype" w:hAnsi="Palatino Linotype" w:cs="OTNEJMScalaSansLFCap"/>
        </w:rPr>
        <w:t xml:space="preserve">ugust </w:t>
      </w:r>
      <w:r w:rsidR="00A80242" w:rsidRPr="00A80242">
        <w:rPr>
          <w:rFonts w:ascii="Palatino Linotype" w:hAnsi="Palatino Linotype" w:cs="OTNEJMScalaSansOSF"/>
        </w:rPr>
        <w:t>18</w:t>
      </w:r>
      <w:r w:rsidR="00A80242" w:rsidRPr="00A80242">
        <w:rPr>
          <w:rFonts w:ascii="Palatino Linotype" w:hAnsi="Palatino Linotype" w:cs="OTNEJMScalaSansLFCap"/>
        </w:rPr>
        <w:t xml:space="preserve">, </w:t>
      </w:r>
      <w:r w:rsidR="00A80242" w:rsidRPr="00A80242">
        <w:rPr>
          <w:rFonts w:ascii="Palatino Linotype" w:hAnsi="Palatino Linotype" w:cs="OTNEJMScalaSansOSF"/>
        </w:rPr>
        <w:t>2011</w:t>
      </w:r>
      <w:proofErr w:type="gramEnd"/>
      <w:r w:rsidRPr="00A80242">
        <w:rPr>
          <w:rFonts w:ascii="Palatino Linotype" w:hAnsi="Palatino Linotype"/>
        </w:rPr>
        <w:t>)</w:t>
      </w:r>
      <w:r w:rsidRPr="00581EFC">
        <w:rPr>
          <w:rFonts w:ascii="Palatino Linotype" w:hAnsi="Palatino Linotype"/>
        </w:rPr>
        <w:t xml:space="preserve">.  Don’t take it personally.   Get over </w:t>
      </w:r>
      <w:r w:rsidR="00663926" w:rsidRPr="00581EFC">
        <w:rPr>
          <w:rFonts w:ascii="Palatino Linotype" w:hAnsi="Palatino Linotype"/>
        </w:rPr>
        <w:t>it, accept it, and work for your defense.</w:t>
      </w:r>
    </w:p>
    <w:p w:rsidR="00A6520B" w:rsidRPr="00581EFC" w:rsidRDefault="00663926" w:rsidP="00A6520B">
      <w:pPr>
        <w:pStyle w:val="ListParagraph"/>
        <w:numPr>
          <w:ilvl w:val="0"/>
          <w:numId w:val="2"/>
        </w:numPr>
        <w:rPr>
          <w:rFonts w:ascii="Palatino Linotype" w:hAnsi="Palatino Linotype"/>
        </w:rPr>
      </w:pPr>
      <w:r w:rsidRPr="00581EFC">
        <w:rPr>
          <w:rFonts w:ascii="Palatino Linotype" w:hAnsi="Palatino Linotype"/>
        </w:rPr>
        <w:t>Remember that your malpractice carrier, your attorney, and your risk management team, are on your side.  They are your most trusted allies.</w:t>
      </w:r>
    </w:p>
    <w:p w:rsidR="00663926" w:rsidRPr="00581EFC" w:rsidRDefault="00663926" w:rsidP="00A6520B">
      <w:pPr>
        <w:pStyle w:val="ListParagraph"/>
        <w:numPr>
          <w:ilvl w:val="0"/>
          <w:numId w:val="2"/>
        </w:numPr>
        <w:rPr>
          <w:rFonts w:ascii="Palatino Linotype" w:hAnsi="Palatino Linotype"/>
        </w:rPr>
      </w:pPr>
      <w:r w:rsidRPr="00581EFC">
        <w:rPr>
          <w:rFonts w:ascii="Palatino Linotype" w:hAnsi="Palatino Linotype"/>
        </w:rPr>
        <w:t>Get involved in selecting your expert witnesses.</w:t>
      </w:r>
    </w:p>
    <w:p w:rsidR="00663926" w:rsidRPr="00581EFC" w:rsidRDefault="00963DF3" w:rsidP="00A6520B">
      <w:pPr>
        <w:pStyle w:val="ListParagraph"/>
        <w:numPr>
          <w:ilvl w:val="0"/>
          <w:numId w:val="2"/>
        </w:numPr>
        <w:rPr>
          <w:rFonts w:ascii="Palatino Linotype" w:hAnsi="Palatino Linotype"/>
        </w:rPr>
      </w:pPr>
      <w:r>
        <w:rPr>
          <w:rFonts w:ascii="Palatino Linotype" w:hAnsi="Palatino Linotype"/>
        </w:rPr>
        <w:t>Personally, r</w:t>
      </w:r>
      <w:r w:rsidR="00663926" w:rsidRPr="00581EFC">
        <w:rPr>
          <w:rFonts w:ascii="Palatino Linotype" w:hAnsi="Palatino Linotype"/>
        </w:rPr>
        <w:t xml:space="preserve">eview and respond to all </w:t>
      </w:r>
      <w:r>
        <w:rPr>
          <w:rFonts w:ascii="Palatino Linotype" w:hAnsi="Palatino Linotype"/>
        </w:rPr>
        <w:t xml:space="preserve">“discovery” (interrogatories, requests for admissions) and </w:t>
      </w:r>
      <w:r w:rsidR="00663926" w:rsidRPr="00581EFC">
        <w:rPr>
          <w:rFonts w:ascii="Palatino Linotype" w:hAnsi="Palatino Linotype"/>
        </w:rPr>
        <w:t xml:space="preserve">then give them to your attorney for review before submitting them to the court.  Only you understand all the nuances of your case, and the </w:t>
      </w:r>
      <w:r w:rsidR="00A204BF" w:rsidRPr="00581EFC">
        <w:rPr>
          <w:rFonts w:ascii="Palatino Linotype" w:hAnsi="Palatino Linotype"/>
        </w:rPr>
        <w:t xml:space="preserve">comprehensive </w:t>
      </w:r>
      <w:r w:rsidR="008A2E70" w:rsidRPr="00581EFC">
        <w:rPr>
          <w:rFonts w:ascii="Palatino Linotype" w:hAnsi="Palatino Linotype"/>
        </w:rPr>
        <w:t xml:space="preserve">field of ophthalmology.  </w:t>
      </w:r>
    </w:p>
    <w:p w:rsidR="008A2E70" w:rsidRPr="00581EFC" w:rsidRDefault="008A2E70" w:rsidP="00A6520B">
      <w:pPr>
        <w:pStyle w:val="ListParagraph"/>
        <w:numPr>
          <w:ilvl w:val="0"/>
          <w:numId w:val="2"/>
        </w:numPr>
        <w:rPr>
          <w:rFonts w:ascii="Palatino Linotype" w:hAnsi="Palatino Linotype"/>
        </w:rPr>
      </w:pPr>
      <w:r w:rsidRPr="00581EFC">
        <w:rPr>
          <w:rFonts w:ascii="Palatino Linotype" w:hAnsi="Palatino Linotype"/>
        </w:rPr>
        <w:t xml:space="preserve">Keep your own complete set of files with copies of every document that you lawyer has </w:t>
      </w:r>
      <w:r w:rsidR="00A80242">
        <w:rPr>
          <w:rFonts w:ascii="Palatino Linotype" w:hAnsi="Palatino Linotype"/>
        </w:rPr>
        <w:t>provided to you. K</w:t>
      </w:r>
      <w:r w:rsidRPr="00581EFC">
        <w:rPr>
          <w:rFonts w:ascii="Palatino Linotype" w:hAnsi="Palatino Linotype"/>
        </w:rPr>
        <w:t xml:space="preserve">eep </w:t>
      </w:r>
      <w:r w:rsidR="00A80242">
        <w:rPr>
          <w:rFonts w:ascii="Palatino Linotype" w:hAnsi="Palatino Linotype"/>
        </w:rPr>
        <w:t xml:space="preserve">these documents </w:t>
      </w:r>
      <w:r w:rsidRPr="00581EFC">
        <w:rPr>
          <w:rFonts w:ascii="Palatino Linotype" w:hAnsi="Palatino Linotype"/>
        </w:rPr>
        <w:t xml:space="preserve">in a filing system that allows for easy retrieval.  </w:t>
      </w:r>
    </w:p>
    <w:p w:rsidR="008A2E70" w:rsidRPr="00581EFC" w:rsidRDefault="008A2E70" w:rsidP="00A6520B">
      <w:pPr>
        <w:pStyle w:val="ListParagraph"/>
        <w:numPr>
          <w:ilvl w:val="0"/>
          <w:numId w:val="2"/>
        </w:numPr>
        <w:rPr>
          <w:rFonts w:ascii="Palatino Linotype" w:hAnsi="Palatino Linotype"/>
        </w:rPr>
      </w:pPr>
      <w:r w:rsidRPr="00581EFC">
        <w:rPr>
          <w:rFonts w:ascii="Palatino Linotype" w:hAnsi="Palatino Linotype"/>
        </w:rPr>
        <w:t>Review all of your relevant medical records over and over again, until you gain an intimate knowledge of the case</w:t>
      </w:r>
      <w:r w:rsidR="0075574D" w:rsidRPr="00581EFC">
        <w:rPr>
          <w:rFonts w:ascii="Palatino Linotype" w:hAnsi="Palatino Linotype"/>
        </w:rPr>
        <w:t>.  Period</w:t>
      </w:r>
      <w:r w:rsidRPr="00581EFC">
        <w:rPr>
          <w:rFonts w:ascii="Palatino Linotype" w:hAnsi="Palatino Linotype"/>
        </w:rPr>
        <w:t>ically</w:t>
      </w:r>
      <w:r w:rsidR="0075574D" w:rsidRPr="00581EFC">
        <w:rPr>
          <w:rFonts w:ascii="Palatino Linotype" w:hAnsi="Palatino Linotype"/>
        </w:rPr>
        <w:t>, take the time to</w:t>
      </w:r>
      <w:r w:rsidRPr="00581EFC">
        <w:rPr>
          <w:rFonts w:ascii="Palatino Linotype" w:hAnsi="Palatino Linotype"/>
        </w:rPr>
        <w:t xml:space="preserve"> re</w:t>
      </w:r>
      <w:r w:rsidR="000B630F" w:rsidRPr="00581EFC">
        <w:rPr>
          <w:rFonts w:ascii="Palatino Linotype" w:hAnsi="Palatino Linotype"/>
        </w:rPr>
        <w:t>view the entire legal file, both to keep the details of the lawsuit fresh in your mind, and you may actually discover something relevant to your case that was previously overlooked.</w:t>
      </w:r>
    </w:p>
    <w:p w:rsidR="008A2E70" w:rsidRPr="00581EFC" w:rsidRDefault="00CF0B02" w:rsidP="00A6520B">
      <w:pPr>
        <w:pStyle w:val="ListParagraph"/>
        <w:numPr>
          <w:ilvl w:val="0"/>
          <w:numId w:val="2"/>
        </w:numPr>
        <w:rPr>
          <w:rFonts w:ascii="Palatino Linotype" w:hAnsi="Palatino Linotype"/>
        </w:rPr>
      </w:pPr>
      <w:r>
        <w:rPr>
          <w:rFonts w:ascii="Palatino Linotype" w:hAnsi="Palatino Linotype"/>
        </w:rPr>
        <w:t>A</w:t>
      </w:r>
      <w:r w:rsidR="0075574D" w:rsidRPr="00581EFC">
        <w:rPr>
          <w:rFonts w:ascii="Palatino Linotype" w:hAnsi="Palatino Linotype"/>
        </w:rPr>
        <w:t xml:space="preserve">ttend as many of the depositions as possible.  Your presence can be extremely helpful, both to offer counsel and suggestions to your attorney, and </w:t>
      </w:r>
      <w:r w:rsidR="000B630F" w:rsidRPr="00581EFC">
        <w:rPr>
          <w:rFonts w:ascii="Palatino Linotype" w:hAnsi="Palatino Linotype"/>
        </w:rPr>
        <w:t>to make</w:t>
      </w:r>
      <w:r w:rsidR="0075574D" w:rsidRPr="00581EFC">
        <w:rPr>
          <w:rFonts w:ascii="Palatino Linotype" w:hAnsi="Palatino Linotype"/>
        </w:rPr>
        <w:t xml:space="preserve"> the witness</w:t>
      </w:r>
      <w:r w:rsidR="000B630F" w:rsidRPr="00581EFC">
        <w:rPr>
          <w:rFonts w:ascii="Palatino Linotype" w:hAnsi="Palatino Linotype"/>
        </w:rPr>
        <w:t>es feel uncomfortable</w:t>
      </w:r>
      <w:r w:rsidR="0075574D" w:rsidRPr="00581EFC">
        <w:rPr>
          <w:rFonts w:ascii="Palatino Linotype" w:hAnsi="Palatino Linotype"/>
        </w:rPr>
        <w:t>.</w:t>
      </w:r>
    </w:p>
    <w:p w:rsidR="0075574D" w:rsidRPr="00581EFC" w:rsidRDefault="0075574D" w:rsidP="00A6520B">
      <w:pPr>
        <w:pStyle w:val="ListParagraph"/>
        <w:numPr>
          <w:ilvl w:val="0"/>
          <w:numId w:val="2"/>
        </w:numPr>
        <w:rPr>
          <w:rFonts w:ascii="Palatino Linotype" w:hAnsi="Palatino Linotype"/>
        </w:rPr>
      </w:pPr>
      <w:r w:rsidRPr="00581EFC">
        <w:rPr>
          <w:rFonts w:ascii="Palatino Linotype" w:hAnsi="Palatino Linotype"/>
        </w:rPr>
        <w:t>Chart documentation is vital to defense of any case.  In retrospect, no detail was too small or unimportant to include in your medical records.</w:t>
      </w:r>
    </w:p>
    <w:p w:rsidR="000B630F" w:rsidRPr="00581EFC" w:rsidRDefault="00963DF3" w:rsidP="00A6520B">
      <w:pPr>
        <w:pStyle w:val="ListParagraph"/>
        <w:numPr>
          <w:ilvl w:val="0"/>
          <w:numId w:val="2"/>
        </w:numPr>
        <w:rPr>
          <w:rFonts w:ascii="Palatino Linotype" w:hAnsi="Palatino Linotype"/>
        </w:rPr>
      </w:pPr>
      <w:r>
        <w:rPr>
          <w:rFonts w:ascii="Palatino Linotype" w:hAnsi="Palatino Linotype"/>
        </w:rPr>
        <w:t xml:space="preserve">As litigation continues, review </w:t>
      </w:r>
      <w:r w:rsidR="000B630F" w:rsidRPr="00581EFC">
        <w:rPr>
          <w:rFonts w:ascii="Palatino Linotype" w:hAnsi="Palatino Linotype"/>
        </w:rPr>
        <w:t>new medical records</w:t>
      </w:r>
      <w:r w:rsidR="00DC3B56" w:rsidRPr="00581EFC">
        <w:rPr>
          <w:rFonts w:ascii="Palatino Linotype" w:hAnsi="Palatino Linotype"/>
        </w:rPr>
        <w:t xml:space="preserve"> </w:t>
      </w:r>
      <w:r w:rsidR="00A80242">
        <w:rPr>
          <w:rFonts w:ascii="Palatino Linotype" w:hAnsi="Palatino Linotype"/>
        </w:rPr>
        <w:t xml:space="preserve">that are produced during discovery </w:t>
      </w:r>
      <w:r w:rsidR="00DC3B56" w:rsidRPr="00581EFC">
        <w:rPr>
          <w:rFonts w:ascii="Palatino Linotype" w:hAnsi="Palatino Linotype"/>
        </w:rPr>
        <w:t>from any treating physicians (not just ophthalmologists)</w:t>
      </w:r>
      <w:r w:rsidR="00A80242">
        <w:rPr>
          <w:rFonts w:ascii="Palatino Linotype" w:hAnsi="Palatino Linotype"/>
        </w:rPr>
        <w:t>, other healthcare providers</w:t>
      </w:r>
      <w:r w:rsidR="00DC3B56" w:rsidRPr="00581EFC">
        <w:rPr>
          <w:rFonts w:ascii="Palatino Linotype" w:hAnsi="Palatino Linotype"/>
        </w:rPr>
        <w:t xml:space="preserve"> and hospitals.  </w:t>
      </w:r>
      <w:r w:rsidR="000B630F" w:rsidRPr="00581EFC">
        <w:rPr>
          <w:rFonts w:ascii="Palatino Linotype" w:hAnsi="Palatino Linotype"/>
        </w:rPr>
        <w:t xml:space="preserve"> </w:t>
      </w:r>
    </w:p>
    <w:p w:rsidR="00DC3B56" w:rsidRPr="00581EFC" w:rsidRDefault="00DC3B56" w:rsidP="00A6520B">
      <w:pPr>
        <w:pStyle w:val="ListParagraph"/>
        <w:numPr>
          <w:ilvl w:val="0"/>
          <w:numId w:val="2"/>
        </w:numPr>
        <w:rPr>
          <w:rFonts w:ascii="Palatino Linotype" w:hAnsi="Palatino Linotype"/>
        </w:rPr>
      </w:pPr>
      <w:r w:rsidRPr="00581EFC">
        <w:rPr>
          <w:rFonts w:ascii="Palatino Linotype" w:hAnsi="Palatino Linotype"/>
        </w:rPr>
        <w:t>Be prepared to have your good name, and character, besmirched and dragged through the mud throughout the process by the plaintiff’s attorney.  Keep your cool, and remain relaxed, congenial, and likeable</w:t>
      </w:r>
      <w:r w:rsidR="00A80242">
        <w:rPr>
          <w:rFonts w:ascii="Palatino Linotype" w:hAnsi="Palatino Linotype"/>
        </w:rPr>
        <w:t>, especially</w:t>
      </w:r>
      <w:r w:rsidRPr="00581EFC">
        <w:rPr>
          <w:rFonts w:ascii="Palatino Linotype" w:hAnsi="Palatino Linotype"/>
        </w:rPr>
        <w:t xml:space="preserve"> to the jury.  </w:t>
      </w:r>
    </w:p>
    <w:p w:rsidR="007D611B" w:rsidRPr="00581EFC" w:rsidRDefault="007D611B" w:rsidP="00A6520B">
      <w:pPr>
        <w:pStyle w:val="ListParagraph"/>
        <w:numPr>
          <w:ilvl w:val="0"/>
          <w:numId w:val="2"/>
        </w:numPr>
        <w:rPr>
          <w:rFonts w:ascii="Palatino Linotype" w:hAnsi="Palatino Linotype"/>
        </w:rPr>
      </w:pPr>
      <w:r w:rsidRPr="00581EFC">
        <w:rPr>
          <w:rFonts w:ascii="Palatino Linotype" w:hAnsi="Palatino Linotype"/>
        </w:rPr>
        <w:t xml:space="preserve">Keep the case in its proper historical context.  As the duration of the litigation process lengthens, our knowledge of </w:t>
      </w:r>
      <w:r w:rsidR="00A80242">
        <w:rPr>
          <w:rFonts w:ascii="Palatino Linotype" w:hAnsi="Palatino Linotype"/>
        </w:rPr>
        <w:t xml:space="preserve">medical treatment and </w:t>
      </w:r>
      <w:r w:rsidRPr="00581EFC">
        <w:rPr>
          <w:rFonts w:ascii="Palatino Linotype" w:hAnsi="Palatino Linotype"/>
        </w:rPr>
        <w:t>surgical procedure</w:t>
      </w:r>
      <w:r w:rsidR="00A80242">
        <w:rPr>
          <w:rFonts w:ascii="Palatino Linotype" w:hAnsi="Palatino Linotype"/>
        </w:rPr>
        <w:t xml:space="preserve">s change. </w:t>
      </w:r>
      <w:r w:rsidR="00963DF3">
        <w:rPr>
          <w:rFonts w:ascii="Palatino Linotype" w:hAnsi="Palatino Linotype"/>
        </w:rPr>
        <w:t xml:space="preserve">Keep the defense team focused on </w:t>
      </w:r>
      <w:r w:rsidRPr="00581EFC">
        <w:rPr>
          <w:rFonts w:ascii="Palatino Linotype" w:hAnsi="Palatino Linotype"/>
        </w:rPr>
        <w:t xml:space="preserve">the knowledge and </w:t>
      </w:r>
      <w:r w:rsidR="00A80242">
        <w:rPr>
          <w:rFonts w:ascii="Palatino Linotype" w:hAnsi="Palatino Linotype"/>
        </w:rPr>
        <w:t>standard of care (</w:t>
      </w:r>
      <w:r w:rsidRPr="00581EFC">
        <w:rPr>
          <w:rFonts w:ascii="Palatino Linotype" w:hAnsi="Palatino Linotype"/>
        </w:rPr>
        <w:t>SOC</w:t>
      </w:r>
      <w:r w:rsidR="00A80242">
        <w:rPr>
          <w:rFonts w:ascii="Palatino Linotype" w:hAnsi="Palatino Linotype"/>
        </w:rPr>
        <w:t>)</w:t>
      </w:r>
      <w:r w:rsidRPr="00581EFC">
        <w:rPr>
          <w:rFonts w:ascii="Palatino Linotype" w:hAnsi="Palatino Linotype"/>
        </w:rPr>
        <w:t xml:space="preserve"> at the time of the event.</w:t>
      </w:r>
    </w:p>
    <w:p w:rsidR="0075574D" w:rsidRPr="00581EFC" w:rsidRDefault="0075574D" w:rsidP="000B630F">
      <w:pPr>
        <w:pStyle w:val="ListParagraph"/>
        <w:rPr>
          <w:rFonts w:ascii="Palatino Linotype" w:hAnsi="Palatino Linotype"/>
        </w:rPr>
      </w:pPr>
    </w:p>
    <w:sectPr w:rsidR="0075574D" w:rsidRPr="00581EFC" w:rsidSect="004968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OTNEJMScalaSansOSF">
    <w:altName w:val="Arial"/>
    <w:panose1 w:val="00000000000000000000"/>
    <w:charset w:val="A3"/>
    <w:family w:val="swiss"/>
    <w:notTrueType/>
    <w:pitch w:val="default"/>
    <w:sig w:usb0="20000001" w:usb1="00000000" w:usb2="00000000" w:usb3="00000000" w:csb0="00000100" w:csb1="00000000"/>
  </w:font>
  <w:font w:name="OTNEJMScalaSansLFCap">
    <w:altName w:val="Arial"/>
    <w:panose1 w:val="00000000000000000000"/>
    <w:charset w:val="A3"/>
    <w:family w:val="swiss"/>
    <w:notTrueType/>
    <w:pitch w:val="default"/>
    <w:sig w:usb0="20000001" w:usb1="00000000" w:usb2="00000000" w:usb3="00000000" w:csb0="000001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42250"/>
    <w:multiLevelType w:val="hybridMultilevel"/>
    <w:tmpl w:val="16A4F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432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520B"/>
    <w:rsid w:val="00082A73"/>
    <w:rsid w:val="000B630F"/>
    <w:rsid w:val="00134D89"/>
    <w:rsid w:val="001A0035"/>
    <w:rsid w:val="002119DD"/>
    <w:rsid w:val="002146CC"/>
    <w:rsid w:val="004968FB"/>
    <w:rsid w:val="00581EFC"/>
    <w:rsid w:val="00663926"/>
    <w:rsid w:val="007423B8"/>
    <w:rsid w:val="0075574D"/>
    <w:rsid w:val="007D611B"/>
    <w:rsid w:val="008771AE"/>
    <w:rsid w:val="008A2E70"/>
    <w:rsid w:val="008A6DEB"/>
    <w:rsid w:val="00963DF3"/>
    <w:rsid w:val="009D56A3"/>
    <w:rsid w:val="00A204BF"/>
    <w:rsid w:val="00A6520B"/>
    <w:rsid w:val="00A80242"/>
    <w:rsid w:val="00B515A7"/>
    <w:rsid w:val="00BA5A1C"/>
    <w:rsid w:val="00CF0B02"/>
    <w:rsid w:val="00D26F1F"/>
    <w:rsid w:val="00DC3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8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82A73"/>
    <w:pPr>
      <w:spacing w:after="0" w:line="240" w:lineRule="auto"/>
    </w:pPr>
    <w:rPr>
      <w:rFonts w:ascii="Arial" w:eastAsiaTheme="majorEastAsia" w:hAnsi="Arial" w:cstheme="majorBidi"/>
      <w:sz w:val="20"/>
      <w:szCs w:val="20"/>
    </w:rPr>
  </w:style>
  <w:style w:type="paragraph" w:styleId="ListParagraph">
    <w:name w:val="List Paragraph"/>
    <w:basedOn w:val="Normal"/>
    <w:uiPriority w:val="34"/>
    <w:qFormat/>
    <w:rsid w:val="00A6520B"/>
    <w:pPr>
      <w:ind w:left="720"/>
      <w:contextualSpacing/>
    </w:pPr>
  </w:style>
  <w:style w:type="paragraph" w:styleId="BalloonText">
    <w:name w:val="Balloon Text"/>
    <w:basedOn w:val="Normal"/>
    <w:link w:val="BalloonTextChar"/>
    <w:uiPriority w:val="99"/>
    <w:semiHidden/>
    <w:unhideWhenUsed/>
    <w:rsid w:val="00A20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4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457EF-69F4-487B-A3E5-FBA6D6A1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I Rosenfeld</dc:creator>
  <cp:lastModifiedBy>Paul Weber</cp:lastModifiedBy>
  <cp:revision>10</cp:revision>
  <cp:lastPrinted>2011-08-20T22:41:00Z</cp:lastPrinted>
  <dcterms:created xsi:type="dcterms:W3CDTF">2011-08-20T22:10:00Z</dcterms:created>
  <dcterms:modified xsi:type="dcterms:W3CDTF">2012-01-04T17:57:00Z</dcterms:modified>
</cp:coreProperties>
</file>