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64" w:rsidRPr="00F40164" w:rsidRDefault="00F40164" w:rsidP="00E84C5E">
      <w:pPr>
        <w:shd w:val="clear" w:color="auto" w:fill="FFFFFF"/>
        <w:spacing w:after="0" w:line="345" w:lineRule="atLeast"/>
        <w:rPr>
          <w:rFonts w:ascii="Georgia" w:eastAsia="Times New Roman" w:hAnsi="Georgia" w:cs="Times New Roman"/>
          <w:color w:val="000000"/>
          <w:sz w:val="27"/>
          <w:szCs w:val="27"/>
        </w:rPr>
      </w:pPr>
      <w:r w:rsidRPr="00F40164">
        <w:rPr>
          <w:rFonts w:ascii="Georgia" w:eastAsia="Times New Roman" w:hAnsi="Georgia" w:cs="Times New Roman"/>
          <w:color w:val="000000"/>
          <w:sz w:val="27"/>
          <w:szCs w:val="27"/>
        </w:rPr>
        <w:t xml:space="preserve">Medical </w:t>
      </w:r>
      <w:proofErr w:type="spellStart"/>
      <w:r w:rsidRPr="00F40164">
        <w:rPr>
          <w:rFonts w:ascii="Georgia" w:eastAsia="Times New Roman" w:hAnsi="Georgia" w:cs="Times New Roman"/>
          <w:color w:val="000000"/>
          <w:sz w:val="27"/>
          <w:szCs w:val="27"/>
        </w:rPr>
        <w:t>eRisk</w:t>
      </w:r>
      <w:proofErr w:type="spellEnd"/>
      <w:r w:rsidRPr="00F40164">
        <w:rPr>
          <w:rFonts w:ascii="Georgia" w:eastAsia="Times New Roman" w:hAnsi="Georgia" w:cs="Times New Roman"/>
          <w:color w:val="000000"/>
          <w:sz w:val="27"/>
          <w:szCs w:val="27"/>
        </w:rPr>
        <w:t xml:space="preserve"> Considerations for Online Communication </w:t>
      </w:r>
      <w:r w:rsidRPr="00F40164">
        <w:rPr>
          <w:rFonts w:ascii="Georgia" w:eastAsia="Times New Roman" w:hAnsi="Georgia" w:cs="Times New Roman"/>
          <w:color w:val="000000"/>
          <w:sz w:val="27"/>
          <w:szCs w:val="27"/>
        </w:rPr>
        <w:br/>
        <w:t>2010 Update</w:t>
      </w:r>
    </w:p>
    <w:p w:rsidR="00F40164" w:rsidRDefault="00F40164" w:rsidP="00F40164">
      <w:pPr>
        <w:shd w:val="clear" w:color="auto" w:fill="FFFFFF"/>
        <w:spacing w:after="0" w:line="285" w:lineRule="atLeast"/>
        <w:rPr>
          <w:rFonts w:ascii="Trebuchet MS" w:eastAsia="Times New Roman" w:hAnsi="Trebuchet MS" w:cs="Times New Roman"/>
          <w:sz w:val="20"/>
          <w:szCs w:val="20"/>
        </w:rPr>
      </w:pP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The </w:t>
      </w:r>
      <w:r w:rsidRPr="00F40164">
        <w:rPr>
          <w:rFonts w:ascii="Trebuchet MS" w:eastAsia="Times New Roman" w:hAnsi="Trebuchet MS" w:cs="Times New Roman"/>
          <w:i/>
          <w:iCs/>
          <w:sz w:val="20"/>
          <w:szCs w:val="20"/>
        </w:rPr>
        <w:t>Medical</w:t>
      </w:r>
      <w:r w:rsidRPr="00F40164">
        <w:rPr>
          <w:rFonts w:ascii="Trebuchet MS" w:eastAsia="Times New Roman" w:hAnsi="Trebuchet MS" w:cs="Times New Roman"/>
          <w:sz w:val="20"/>
          <w:szCs w:val="20"/>
        </w:rPr>
        <w:t xml:space="preserve"> </w:t>
      </w:r>
      <w:proofErr w:type="spellStart"/>
      <w:r w:rsidRPr="00F40164">
        <w:rPr>
          <w:rFonts w:ascii="Trebuchet MS" w:eastAsia="Times New Roman" w:hAnsi="Trebuchet MS" w:cs="Times New Roman"/>
          <w:i/>
          <w:iCs/>
          <w:sz w:val="20"/>
          <w:szCs w:val="20"/>
        </w:rPr>
        <w:t>eRisk</w:t>
      </w:r>
      <w:proofErr w:type="spellEnd"/>
      <w:r w:rsidRPr="00F40164">
        <w:rPr>
          <w:rFonts w:ascii="Trebuchet MS" w:eastAsia="Times New Roman" w:hAnsi="Trebuchet MS" w:cs="Times New Roman"/>
          <w:i/>
          <w:iCs/>
          <w:sz w:val="20"/>
          <w:szCs w:val="20"/>
        </w:rPr>
        <w:t xml:space="preserve"> Considerations</w:t>
      </w:r>
      <w:r w:rsidRPr="00F40164">
        <w:rPr>
          <w:rFonts w:ascii="Trebuchet MS" w:eastAsia="Times New Roman" w:hAnsi="Trebuchet MS" w:cs="Times New Roman"/>
          <w:sz w:val="20"/>
          <w:szCs w:val="20"/>
        </w:rPr>
        <w:t xml:space="preserve"> were initially developed by the </w:t>
      </w:r>
      <w:proofErr w:type="spellStart"/>
      <w:r w:rsidRPr="00F40164">
        <w:rPr>
          <w:rFonts w:ascii="Trebuchet MS" w:eastAsia="Times New Roman" w:hAnsi="Trebuchet MS" w:cs="Times New Roman"/>
          <w:sz w:val="20"/>
          <w:szCs w:val="20"/>
        </w:rPr>
        <w:t>eRisk</w:t>
      </w:r>
      <w:proofErr w:type="spellEnd"/>
      <w:r w:rsidRPr="00F40164">
        <w:rPr>
          <w:rFonts w:ascii="Trebuchet MS" w:eastAsia="Times New Roman" w:hAnsi="Trebuchet MS" w:cs="Times New Roman"/>
          <w:sz w:val="20"/>
          <w:szCs w:val="20"/>
        </w:rPr>
        <w:t xml:space="preserve"> Working Group for Healthcare, a consortium of professional liability carriers, medical societies and state licensure board representatives. </w:t>
      </w:r>
      <w:r w:rsidRPr="00F40164">
        <w:rPr>
          <w:rFonts w:ascii="Trebuchet MS" w:eastAsia="Times New Roman" w:hAnsi="Trebuchet MS" w:cs="Times New Roman"/>
          <w:i/>
          <w:iCs/>
          <w:sz w:val="20"/>
          <w:szCs w:val="20"/>
        </w:rPr>
        <w:t xml:space="preserve">They </w:t>
      </w:r>
      <w:r w:rsidRPr="00F40164">
        <w:rPr>
          <w:rFonts w:ascii="Trebuchet MS" w:eastAsia="Times New Roman" w:hAnsi="Trebuchet MS" w:cs="Times New Roman"/>
          <w:sz w:val="20"/>
          <w:szCs w:val="20"/>
        </w:rPr>
        <w:t>are meant to provide information to healthcare providers related to the use of electronic clinical systems, including Electronic Health Records (EHRs), and online communication and services with patients.</w:t>
      </w:r>
    </w:p>
    <w:p w:rsidR="00F40164" w:rsidRDefault="00F40164" w:rsidP="00F40164">
      <w:pPr>
        <w:shd w:val="clear" w:color="auto" w:fill="FFFFFF"/>
        <w:spacing w:after="0" w:line="285" w:lineRule="atLeast"/>
        <w:rPr>
          <w:rFonts w:ascii="Trebuchet MS" w:eastAsia="Times New Roman" w:hAnsi="Trebuchet MS" w:cs="Times New Roman"/>
          <w:sz w:val="20"/>
          <w:szCs w:val="20"/>
        </w:rPr>
      </w:pP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These Considerations are meant to serve as general suggestions and do not serve as professional advice of any kind. Clinicians are advised and encouraged to conduct their own independent research and seek further guidance on any specific questions or issues related to the subject matter herein from independent professionals. Full or partial adherence with any of these considerations imposes no obligation on any of the members of the </w:t>
      </w:r>
      <w:proofErr w:type="spellStart"/>
      <w:r w:rsidRPr="00F40164">
        <w:rPr>
          <w:rFonts w:ascii="Trebuchet MS" w:eastAsia="Times New Roman" w:hAnsi="Trebuchet MS" w:cs="Times New Roman"/>
          <w:sz w:val="20"/>
          <w:szCs w:val="20"/>
        </w:rPr>
        <w:t>eRisk</w:t>
      </w:r>
      <w:proofErr w:type="spellEnd"/>
      <w:r w:rsidRPr="00F40164">
        <w:rPr>
          <w:rFonts w:ascii="Trebuchet MS" w:eastAsia="Times New Roman" w:hAnsi="Trebuchet MS" w:cs="Times New Roman"/>
          <w:sz w:val="20"/>
          <w:szCs w:val="20"/>
        </w:rPr>
        <w:t xml:space="preserve"> Working Group, the </w:t>
      </w:r>
      <w:proofErr w:type="spellStart"/>
      <w:r w:rsidRPr="00F40164">
        <w:rPr>
          <w:rFonts w:ascii="Trebuchet MS" w:eastAsia="Times New Roman" w:hAnsi="Trebuchet MS" w:cs="Times New Roman"/>
          <w:sz w:val="20"/>
          <w:szCs w:val="20"/>
        </w:rPr>
        <w:t>iHealth</w:t>
      </w:r>
      <w:proofErr w:type="spellEnd"/>
      <w:r w:rsidRPr="00F40164">
        <w:rPr>
          <w:rFonts w:ascii="Trebuchet MS" w:eastAsia="Times New Roman" w:hAnsi="Trebuchet MS" w:cs="Times New Roman"/>
          <w:sz w:val="20"/>
          <w:szCs w:val="20"/>
        </w:rPr>
        <w:t xml:space="preserve"> Alliance or any other person or entity to offer any benefits of any kind to Clinicians such as lowering premiums, provide coverage of any claims, or offer any other benefits. </w:t>
      </w:r>
    </w:p>
    <w:p w:rsidR="00F40164" w:rsidRDefault="00F40164" w:rsidP="00F40164">
      <w:pPr>
        <w:shd w:val="clear" w:color="auto" w:fill="FFFFFF"/>
        <w:spacing w:after="0" w:line="285" w:lineRule="atLeast"/>
        <w:rPr>
          <w:rFonts w:ascii="Trebuchet MS" w:eastAsia="Times New Roman" w:hAnsi="Trebuchet MS" w:cs="Times New Roman"/>
          <w:b/>
          <w:bCs/>
          <w:sz w:val="20"/>
          <w:szCs w:val="20"/>
        </w:rPr>
      </w:pP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General Principles</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The legal rules, ethical guidelines and professional etiquette that govern and guide traditional treatment and communications between the healthcare provider and patient are equally applicable to EHRs, email, Web sites, list serves, Personal Health Records (PHRs), social media and other electronic services and communications. However, this technology introduces special concerns and risks as follows:</w:t>
      </w:r>
    </w:p>
    <w:p w:rsidR="00F40164" w:rsidRPr="00F40164" w:rsidRDefault="00F40164" w:rsidP="00F40164">
      <w:pPr>
        <w:numPr>
          <w:ilvl w:val="0"/>
          <w:numId w:val="1"/>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bookmarkStart w:id="0" w:name="P49_5435"/>
      <w:bookmarkEnd w:id="0"/>
      <w:r w:rsidRPr="00F40164">
        <w:rPr>
          <w:rFonts w:ascii="Trebuchet MS" w:eastAsia="Times New Roman" w:hAnsi="Trebuchet MS" w:cs="Times New Roman"/>
          <w:b/>
          <w:bCs/>
          <w:sz w:val="20"/>
          <w:szCs w:val="20"/>
        </w:rPr>
        <w:t>Confidentiality.</w:t>
      </w:r>
      <w:r w:rsidRPr="00F40164">
        <w:rPr>
          <w:rFonts w:ascii="Trebuchet MS" w:eastAsia="Times New Roman" w:hAnsi="Trebuchet MS" w:cs="Times New Roman"/>
          <w:sz w:val="20"/>
          <w:szCs w:val="20"/>
        </w:rPr>
        <w:t xml:space="preserve"> The healthcare clinician is responsible for protecting patient privacy and guarding against unauthorized access to and/or use of patient healthcare information. This responsibility extends to the use of network services that have an appropriate level of privacy and security as required under HIPAA. Following are key considerations:</w:t>
      </w:r>
    </w:p>
    <w:p w:rsidR="00F40164" w:rsidRPr="00F40164" w:rsidRDefault="00F40164" w:rsidP="00F40164">
      <w:pPr>
        <w:numPr>
          <w:ilvl w:val="0"/>
          <w:numId w:val="2"/>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Privacy and Security.</w:t>
      </w:r>
      <w:r w:rsidRPr="00F40164">
        <w:rPr>
          <w:rFonts w:ascii="Trebuchet MS" w:eastAsia="Times New Roman" w:hAnsi="Trebuchet MS" w:cs="Times New Roman"/>
          <w:sz w:val="20"/>
          <w:szCs w:val="20"/>
        </w:rPr>
        <w:t xml:space="preserve"> Online communications between healthcare clinicians and patients should be conducted over a secure network, with provisions for privacy and security, including encryption, in accordance with HIPAA. Standard email services do not meet the requirements under HIPAA. </w:t>
      </w:r>
      <w:r w:rsidRPr="00F40164">
        <w:rPr>
          <w:rFonts w:ascii="Trebuchet MS" w:eastAsia="Times New Roman" w:hAnsi="Trebuchet MS" w:cs="Times New Roman"/>
          <w:i/>
          <w:iCs/>
          <w:sz w:val="20"/>
          <w:szCs w:val="20"/>
        </w:rPr>
        <w:br/>
      </w:r>
      <w:r w:rsidRPr="00F40164">
        <w:rPr>
          <w:rFonts w:ascii="Trebuchet MS" w:eastAsia="Times New Roman" w:hAnsi="Trebuchet MS" w:cs="Times New Roman"/>
          <w:i/>
          <w:iCs/>
          <w:sz w:val="20"/>
          <w:szCs w:val="20"/>
        </w:rPr>
        <w:br/>
        <w:t>Note: With respect to email specifically, clinicians are encouraged to add a disclosure to the bottom of their standard, non-secure email service stating that “this email is not secure, and is not for use by patients or for healthcare purposes in general.”</w:t>
      </w:r>
    </w:p>
    <w:p w:rsidR="00F40164" w:rsidRPr="00F40164" w:rsidRDefault="00F40164" w:rsidP="00F40164">
      <w:pPr>
        <w:numPr>
          <w:ilvl w:val="0"/>
          <w:numId w:val="2"/>
        </w:numPr>
        <w:shd w:val="clear" w:color="auto" w:fill="FFFFFF"/>
        <w:spacing w:before="100" w:beforeAutospacing="1" w:after="100" w:afterAutospacing="1"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Authentication.</w:t>
      </w:r>
      <w:r w:rsidRPr="00F40164">
        <w:rPr>
          <w:rFonts w:ascii="Trebuchet MS" w:eastAsia="Times New Roman" w:hAnsi="Trebuchet MS" w:cs="Times New Roman"/>
          <w:sz w:val="20"/>
          <w:szCs w:val="20"/>
        </w:rPr>
        <w:t xml:space="preserve"> Healthcare clinicians have responsibility for taking reasonable steps to authenticate the identity of correspondent(s) in electronic communication and to ensure that recipients of information are authorized to receive it. Authentication of the patient or an authorized patient proxy (i.e., parent of a minor, authorized family member, etc.) for patient-provider online communication including the delivery of patient data is important in order to ensure patient privacy and confidentiality. Clinicians are encouraged to follow these suggestions for patient authentication:</w:t>
      </w:r>
    </w:p>
    <w:tbl>
      <w:tblPr>
        <w:tblW w:w="0" w:type="auto"/>
        <w:tblCellSpacing w:w="15" w:type="dxa"/>
        <w:tblCellMar>
          <w:top w:w="15" w:type="dxa"/>
          <w:left w:w="15" w:type="dxa"/>
          <w:bottom w:w="15" w:type="dxa"/>
          <w:right w:w="15" w:type="dxa"/>
        </w:tblCellMar>
        <w:tblLook w:val="04A0"/>
      </w:tblPr>
      <w:tblGrid>
        <w:gridCol w:w="513"/>
        <w:gridCol w:w="8937"/>
      </w:tblGrid>
      <w:tr w:rsidR="00F40164" w:rsidRPr="00F40164" w:rsidTr="00F40164">
        <w:trPr>
          <w:tblCellSpacing w:w="15" w:type="dxa"/>
        </w:trPr>
        <w:tc>
          <w:tcPr>
            <w:tcW w:w="48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proofErr w:type="spellStart"/>
            <w:r w:rsidRPr="00F40164">
              <w:rPr>
                <w:rFonts w:ascii="Trebuchet MS" w:eastAsia="Times New Roman" w:hAnsi="Trebuchet MS" w:cs="Times New Roman"/>
                <w:sz w:val="20"/>
                <w:szCs w:val="20"/>
              </w:rPr>
              <w:lastRenderedPageBreak/>
              <w:t>i</w:t>
            </w:r>
            <w:proofErr w:type="spellEnd"/>
            <w:r w:rsidRPr="00F40164">
              <w:rPr>
                <w:rFonts w:ascii="Trebuchet MS" w:eastAsia="Times New Roman" w:hAnsi="Trebuchet MS" w:cs="Times New Roman"/>
                <w:sz w:val="20"/>
                <w:szCs w:val="20"/>
              </w:rPr>
              <w:t>.</w:t>
            </w:r>
          </w:p>
        </w:tc>
        <w:tc>
          <w:tcPr>
            <w:tcW w:w="936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Have a written patient authentication protocol for all practice personnel and require them to understand and adhere to it.</w:t>
            </w:r>
          </w:p>
        </w:tc>
      </w:tr>
      <w:tr w:rsidR="00F40164" w:rsidRPr="00F40164" w:rsidTr="00F40164">
        <w:trPr>
          <w:tblCellSpacing w:w="15" w:type="dxa"/>
        </w:trPr>
        <w:tc>
          <w:tcPr>
            <w:tcW w:w="48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ii.</w:t>
            </w:r>
          </w:p>
        </w:tc>
        <w:tc>
          <w:tcPr>
            <w:tcW w:w="936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Establish minimum standards for patient authentication when a patient is new to a practice or not well known. </w:t>
            </w:r>
          </w:p>
        </w:tc>
      </w:tr>
      <w:tr w:rsidR="00F40164" w:rsidRPr="00F40164" w:rsidTr="00F40164">
        <w:trPr>
          <w:tblCellSpacing w:w="15" w:type="dxa"/>
        </w:trPr>
        <w:tc>
          <w:tcPr>
            <w:tcW w:w="48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iii.</w:t>
            </w:r>
          </w:p>
        </w:tc>
        <w:tc>
          <w:tcPr>
            <w:tcW w:w="936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Keep an electronic or paper record of each patient authenticated for online communication or data exchange. The record should include the following:</w:t>
            </w:r>
          </w:p>
        </w:tc>
      </w:tr>
      <w:tr w:rsidR="00F40164" w:rsidRPr="00F40164" w:rsidTr="00F40164">
        <w:trPr>
          <w:tblCellSpacing w:w="15" w:type="dxa"/>
        </w:trPr>
        <w:tc>
          <w:tcPr>
            <w:tcW w:w="48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  </w:t>
            </w:r>
          </w:p>
        </w:tc>
        <w:tc>
          <w:tcPr>
            <w:tcW w:w="9360" w:type="dxa"/>
            <w:hideMark/>
          </w:tcPr>
          <w:p w:rsidR="00F40164" w:rsidRDefault="00F40164" w:rsidP="00F40164">
            <w:pPr>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1.) Name of the patient</w:t>
            </w:r>
            <w:r w:rsidRPr="00F40164">
              <w:rPr>
                <w:rFonts w:ascii="Trebuchet MS" w:eastAsia="Times New Roman" w:hAnsi="Trebuchet MS" w:cs="Times New Roman"/>
                <w:sz w:val="20"/>
                <w:szCs w:val="20"/>
              </w:rPr>
              <w:br/>
              <w:t xml:space="preserve">2.) Date of authentication </w:t>
            </w:r>
            <w:r w:rsidRPr="00F40164">
              <w:rPr>
                <w:rFonts w:ascii="Trebuchet MS" w:eastAsia="Times New Roman" w:hAnsi="Trebuchet MS" w:cs="Times New Roman"/>
                <w:sz w:val="20"/>
                <w:szCs w:val="20"/>
              </w:rPr>
              <w:br/>
              <w:t>3.) Name of practice staff authenticating the patient</w:t>
            </w:r>
            <w:r w:rsidRPr="00F40164">
              <w:rPr>
                <w:rFonts w:ascii="Trebuchet MS" w:eastAsia="Times New Roman" w:hAnsi="Trebuchet MS" w:cs="Times New Roman"/>
                <w:sz w:val="20"/>
                <w:szCs w:val="20"/>
              </w:rPr>
              <w:br/>
              <w:t>4.) Means used to authenticate the patient</w:t>
            </w:r>
          </w:p>
          <w:p w:rsidR="00E84C5E" w:rsidRPr="00F40164" w:rsidRDefault="00E84C5E" w:rsidP="00F40164">
            <w:pPr>
              <w:spacing w:after="0" w:line="285" w:lineRule="atLeast"/>
              <w:rPr>
                <w:rFonts w:ascii="Trebuchet MS" w:eastAsia="Times New Roman" w:hAnsi="Trebuchet MS" w:cs="Times New Roman"/>
                <w:sz w:val="20"/>
                <w:szCs w:val="20"/>
              </w:rPr>
            </w:pPr>
          </w:p>
        </w:tc>
      </w:tr>
      <w:tr w:rsidR="00F40164" w:rsidRPr="00F40164" w:rsidTr="00F40164">
        <w:trPr>
          <w:tblCellSpacing w:w="15" w:type="dxa"/>
        </w:trPr>
        <w:tc>
          <w:tcPr>
            <w:tcW w:w="48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iv.</w:t>
            </w:r>
          </w:p>
        </w:tc>
        <w:tc>
          <w:tcPr>
            <w:tcW w:w="9360" w:type="dxa"/>
            <w:hideMark/>
          </w:tcPr>
          <w:p w:rsidR="00F40164" w:rsidRPr="00F40164" w:rsidRDefault="00F40164" w:rsidP="00F40164">
            <w:pPr>
              <w:spacing w:after="0" w:line="285" w:lineRule="atLeast"/>
              <w:jc w:val="center"/>
              <w:rPr>
                <w:rFonts w:ascii="Trebuchet MS" w:eastAsia="Times New Roman" w:hAnsi="Trebuchet MS" w:cs="Times New Roman"/>
                <w:sz w:val="20"/>
                <w:szCs w:val="20"/>
              </w:rPr>
            </w:pPr>
            <w:r w:rsidRPr="00F40164">
              <w:rPr>
                <w:rFonts w:ascii="Trebuchet MS" w:eastAsia="Times New Roman" w:hAnsi="Trebuchet MS" w:cs="Times New Roman"/>
                <w:sz w:val="20"/>
                <w:szCs w:val="20"/>
              </w:rPr>
              <w:t>Providers should not offer, promote or encourage patients to participate in online healthcare services where patient authentication is not addressed.</w:t>
            </w:r>
          </w:p>
        </w:tc>
      </w:tr>
    </w:tbl>
    <w:p w:rsidR="00F40164" w:rsidRPr="00F40164" w:rsidRDefault="00F40164" w:rsidP="00F40164">
      <w:pPr>
        <w:numPr>
          <w:ilvl w:val="0"/>
          <w:numId w:val="3"/>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 w:name="P65_7620"/>
      <w:bookmarkEnd w:id="1"/>
      <w:r w:rsidRPr="00F40164">
        <w:rPr>
          <w:rFonts w:ascii="Trebuchet MS" w:eastAsia="Times New Roman" w:hAnsi="Trebuchet MS" w:cs="Times New Roman"/>
          <w:b/>
          <w:bCs/>
          <w:sz w:val="20"/>
          <w:szCs w:val="20"/>
        </w:rPr>
        <w:t>Unauthorized Access to Computers.</w:t>
      </w:r>
      <w:r w:rsidRPr="00F40164">
        <w:rPr>
          <w:rFonts w:ascii="Trebuchet MS" w:eastAsia="Times New Roman" w:hAnsi="Trebuchet MS" w:cs="Times New Roman"/>
          <w:sz w:val="20"/>
          <w:szCs w:val="20"/>
        </w:rPr>
        <w:t xml:space="preserve"> Unauthorized physical access to computers can compromise patient information. Practices should establish procedures to guard against unauthorized access to computers with technologies such as automatic log-out and password protection. </w:t>
      </w:r>
    </w:p>
    <w:p w:rsidR="00F40164" w:rsidRPr="00F40164" w:rsidRDefault="00F40164" w:rsidP="00F40164">
      <w:pPr>
        <w:numPr>
          <w:ilvl w:val="0"/>
          <w:numId w:val="4"/>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2" w:name="P66_7892"/>
      <w:bookmarkEnd w:id="2"/>
      <w:r w:rsidRPr="00F40164">
        <w:rPr>
          <w:rFonts w:ascii="Trebuchet MS" w:eastAsia="Times New Roman" w:hAnsi="Trebuchet MS" w:cs="Times New Roman"/>
          <w:b/>
          <w:bCs/>
          <w:sz w:val="20"/>
          <w:szCs w:val="20"/>
        </w:rPr>
        <w:t xml:space="preserve">Informed Consent. </w:t>
      </w:r>
      <w:r w:rsidRPr="00F40164">
        <w:rPr>
          <w:rFonts w:ascii="Trebuchet MS" w:eastAsia="Times New Roman" w:hAnsi="Trebuchet MS" w:cs="Times New Roman"/>
          <w:sz w:val="20"/>
          <w:szCs w:val="20"/>
        </w:rPr>
        <w:t xml:space="preserve">Prior to the initiation of online communication between healthcare clinician and patient, informed consent should be obtained regarding the appropriate use and limitations of this form of communication. Clinicians should develop written protocols for online communications, such as avoiding emergency use, heightened consideration of use for sensitive medical topics, and setting expectations for response times. Clinicians should also exercise discretion when selecting patients for the use of online services to ensure that they are capable of electronic communication and will be compliant. These guidelines should be documented in the clinician’s practice policy manuals. </w:t>
      </w:r>
    </w:p>
    <w:p w:rsidR="00F40164" w:rsidRPr="00F40164" w:rsidRDefault="00F40164" w:rsidP="00F40164">
      <w:pPr>
        <w:numPr>
          <w:ilvl w:val="0"/>
          <w:numId w:val="5"/>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3" w:name="P67_8591"/>
      <w:bookmarkEnd w:id="3"/>
      <w:r w:rsidRPr="00F40164">
        <w:rPr>
          <w:rFonts w:ascii="Trebuchet MS" w:eastAsia="Times New Roman" w:hAnsi="Trebuchet MS" w:cs="Times New Roman"/>
          <w:b/>
          <w:bCs/>
          <w:sz w:val="20"/>
          <w:szCs w:val="20"/>
        </w:rPr>
        <w:t>Pre-Existing Clinician-Patient Relationship.</w:t>
      </w:r>
      <w:r w:rsidRPr="00F40164">
        <w:rPr>
          <w:rFonts w:ascii="Trebuchet MS" w:eastAsia="Times New Roman" w:hAnsi="Trebuchet MS" w:cs="Times New Roman"/>
          <w:sz w:val="20"/>
          <w:szCs w:val="20"/>
        </w:rPr>
        <w:t xml:space="preserve"> Healthcare clinicians may increase their liability exposure by </w:t>
      </w:r>
      <w:r w:rsidRPr="00F40164">
        <w:rPr>
          <w:rFonts w:ascii="Trebuchet MS" w:eastAsia="Times New Roman" w:hAnsi="Trebuchet MS" w:cs="Times New Roman"/>
          <w:i/>
          <w:iCs/>
          <w:sz w:val="20"/>
          <w:szCs w:val="20"/>
        </w:rPr>
        <w:t>initiating</w:t>
      </w:r>
      <w:r w:rsidRPr="00F40164">
        <w:rPr>
          <w:rFonts w:ascii="Trebuchet MS" w:eastAsia="Times New Roman" w:hAnsi="Trebuchet MS" w:cs="Times New Roman"/>
          <w:sz w:val="20"/>
          <w:szCs w:val="20"/>
        </w:rPr>
        <w:t xml:space="preserve"> a clinician-patient relationship online. Online communications of any kind are best suited for patients previously seen and evaluated in an office setting. </w:t>
      </w:r>
    </w:p>
    <w:p w:rsidR="00F40164" w:rsidRPr="00F40164" w:rsidRDefault="00F40164" w:rsidP="00F40164">
      <w:pPr>
        <w:numPr>
          <w:ilvl w:val="0"/>
          <w:numId w:val="6"/>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4" w:name="P68_8869"/>
      <w:bookmarkEnd w:id="4"/>
      <w:r w:rsidRPr="00F40164">
        <w:rPr>
          <w:rFonts w:ascii="Trebuchet MS" w:eastAsia="Times New Roman" w:hAnsi="Trebuchet MS" w:cs="Times New Roman"/>
          <w:b/>
          <w:bCs/>
          <w:sz w:val="20"/>
          <w:szCs w:val="20"/>
        </w:rPr>
        <w:t>Licensing Jurisdiction.</w:t>
      </w:r>
      <w:r w:rsidRPr="00F40164">
        <w:rPr>
          <w:rFonts w:ascii="Trebuchet MS" w:eastAsia="Times New Roman" w:hAnsi="Trebuchet MS" w:cs="Times New Roman"/>
          <w:sz w:val="20"/>
          <w:szCs w:val="20"/>
        </w:rPr>
        <w:t xml:space="preserve"> Online interactions between a healthcare clinician and a patient are subject to requirements of state licensure. Communications online with a patient, outside of the state in which the clinician holds a license, may subject the clinician to increased risk. For example, pathologists, radiologists and other clinicians interpreting specimens, slides or images sent through interstate commerce for a primary diagnosis that becomes part of the patient’s medical record should have a license to practice medicine in the state in which the patient presents for diagnosis or where the specimen is taken or the image is made. Intra-specialty consultation generally does not require in-state licensure, provided the consultation is requested by a physician licensed within the state and is referenced in a report he or she issues. Physicians are advised to check with their state’s medical board to determine their licensure requirements.</w:t>
      </w:r>
    </w:p>
    <w:p w:rsidR="00F40164" w:rsidRPr="00F40164" w:rsidRDefault="00F40164" w:rsidP="00F40164">
      <w:pPr>
        <w:numPr>
          <w:ilvl w:val="0"/>
          <w:numId w:val="7"/>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5" w:name="P69_9830"/>
      <w:bookmarkEnd w:id="5"/>
      <w:r w:rsidRPr="00F40164">
        <w:rPr>
          <w:rFonts w:ascii="Trebuchet MS" w:eastAsia="Times New Roman" w:hAnsi="Trebuchet MS" w:cs="Times New Roman"/>
          <w:b/>
          <w:bCs/>
          <w:sz w:val="20"/>
          <w:szCs w:val="20"/>
        </w:rPr>
        <w:lastRenderedPageBreak/>
        <w:t xml:space="preserve">Sensitive Subject Matter. </w:t>
      </w:r>
      <w:r w:rsidRPr="00F40164">
        <w:rPr>
          <w:rFonts w:ascii="Trebuchet MS" w:eastAsia="Times New Roman" w:hAnsi="Trebuchet MS" w:cs="Times New Roman"/>
          <w:sz w:val="20"/>
          <w:szCs w:val="20"/>
        </w:rPr>
        <w:t xml:space="preserve">Clinicians should advise patients of the risks that information the patient may consider sensitive might be inadvertently accessed by someone not authorized to see it, such as information on mental health, substance abuse, reproductive history, sexually transmitted diseases, drug and alcohol problems, genetic disorders and HIV status. </w:t>
      </w:r>
      <w:r w:rsidRPr="00F40164">
        <w:rPr>
          <w:rFonts w:ascii="Trebuchet MS" w:eastAsia="Times New Roman" w:hAnsi="Trebuchet MS" w:cs="Times New Roman"/>
          <w:sz w:val="20"/>
          <w:szCs w:val="20"/>
        </w:rPr>
        <w:br/>
      </w:r>
      <w:r w:rsidRPr="00F40164">
        <w:rPr>
          <w:rFonts w:ascii="Trebuchet MS" w:eastAsia="Times New Roman" w:hAnsi="Trebuchet MS" w:cs="Times New Roman"/>
          <w:sz w:val="20"/>
          <w:szCs w:val="20"/>
        </w:rPr>
        <w:br/>
        <w:t>Some states have laws about special classes of health information, such as HIV or mental health. Clinicians should follow state law in obtaining approval from the patient to exchange those classes of information. Some states may prohibit electronic transfer of specific classes of information regardless of patient consent.</w:t>
      </w:r>
    </w:p>
    <w:p w:rsidR="00F40164" w:rsidRPr="00F40164" w:rsidRDefault="00F40164" w:rsidP="00F40164">
      <w:pPr>
        <w:numPr>
          <w:ilvl w:val="0"/>
          <w:numId w:val="8"/>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6" w:name="P70_10519"/>
      <w:bookmarkEnd w:id="6"/>
      <w:r w:rsidRPr="00F40164">
        <w:rPr>
          <w:rFonts w:ascii="Trebuchet MS" w:eastAsia="Times New Roman" w:hAnsi="Trebuchet MS" w:cs="Times New Roman"/>
          <w:b/>
          <w:bCs/>
          <w:sz w:val="20"/>
          <w:szCs w:val="20"/>
        </w:rPr>
        <w:t>Patient Education and Care Management.</w:t>
      </w:r>
      <w:r w:rsidRPr="00F40164">
        <w:rPr>
          <w:rFonts w:ascii="Trebuchet MS" w:eastAsia="Times New Roman" w:hAnsi="Trebuchet MS" w:cs="Times New Roman"/>
          <w:sz w:val="20"/>
          <w:szCs w:val="20"/>
        </w:rPr>
        <w:t xml:space="preserve"> Healthcare clinicians are responsible for the information that they make available to their patients online. Information that is provided to patients through PHRs, automated patient education programs, care management and other online services should come either directly from the healthcare clinician or from a recognized, credible and authoritative source. </w:t>
      </w:r>
    </w:p>
    <w:p w:rsidR="00F40164" w:rsidRPr="00F40164" w:rsidRDefault="00F40164" w:rsidP="00F40164">
      <w:pPr>
        <w:numPr>
          <w:ilvl w:val="0"/>
          <w:numId w:val="9"/>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7" w:name="P71_10920"/>
      <w:bookmarkEnd w:id="7"/>
      <w:r w:rsidRPr="00F40164">
        <w:rPr>
          <w:rFonts w:ascii="Trebuchet MS" w:eastAsia="Times New Roman" w:hAnsi="Trebuchet MS" w:cs="Times New Roman"/>
          <w:b/>
          <w:bCs/>
          <w:sz w:val="20"/>
          <w:szCs w:val="20"/>
        </w:rPr>
        <w:t>Emergency Subject Matter.</w:t>
      </w:r>
      <w:r w:rsidRPr="00F40164">
        <w:rPr>
          <w:rFonts w:ascii="Trebuchet MS" w:eastAsia="Times New Roman" w:hAnsi="Trebuchet MS" w:cs="Times New Roman"/>
          <w:sz w:val="20"/>
          <w:szCs w:val="20"/>
        </w:rPr>
        <w:t xml:space="preserve"> Clinicians should discourage use of online communication to address medical emergencies such as chest pain, shortness of breath, high fever, physical trauma or bleeding during pregnancy. Instruct patients to call the office or go to an emergency department for emergency issues. Physicians should consider including a disclaimer on Web pages and emails reminding patients that emergency subject matter is not appropriate for electronic communication.</w:t>
      </w:r>
    </w:p>
    <w:p w:rsidR="00F40164" w:rsidRPr="00F40164" w:rsidRDefault="00F40164" w:rsidP="00F40164">
      <w:pPr>
        <w:numPr>
          <w:ilvl w:val="0"/>
          <w:numId w:val="10"/>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8" w:name="P72_11399"/>
      <w:bookmarkEnd w:id="8"/>
      <w:r w:rsidRPr="00F40164">
        <w:rPr>
          <w:rFonts w:ascii="Trebuchet MS" w:eastAsia="Times New Roman" w:hAnsi="Trebuchet MS" w:cs="Times New Roman"/>
          <w:b/>
          <w:bCs/>
          <w:sz w:val="20"/>
          <w:szCs w:val="20"/>
        </w:rPr>
        <w:t>Medical Records.</w:t>
      </w:r>
      <w:r w:rsidRPr="00F40164">
        <w:rPr>
          <w:rFonts w:ascii="Trebuchet MS" w:eastAsia="Times New Roman" w:hAnsi="Trebuchet MS" w:cs="Times New Roman"/>
          <w:sz w:val="20"/>
          <w:szCs w:val="20"/>
        </w:rPr>
        <w:t xml:space="preserve"> A permanent record of online communications relevant to the ongoing medical care of the patient should be maintained as part of the patient’s medical record, whether that record is paper or electronic. Accurate and thorough documentation is effective risk management.</w:t>
      </w:r>
      <w:r w:rsidRPr="00F40164">
        <w:rPr>
          <w:rFonts w:ascii="Trebuchet MS" w:eastAsia="Times New Roman" w:hAnsi="Trebuchet MS" w:cs="Times New Roman"/>
          <w:sz w:val="20"/>
          <w:szCs w:val="20"/>
        </w:rPr>
        <w:br/>
      </w:r>
      <w:r w:rsidRPr="00F40164">
        <w:rPr>
          <w:rFonts w:ascii="Trebuchet MS" w:eastAsia="Times New Roman" w:hAnsi="Trebuchet MS" w:cs="Times New Roman"/>
          <w:sz w:val="20"/>
          <w:szCs w:val="20"/>
        </w:rPr>
        <w:br/>
        <w:t xml:space="preserve">Providers and patients should be aware that email and online information, including PHRs and consultations, are not erased from a computer’s hard drive when deleted and are discoverable in litigation. Therefore all communicated information should be accurate and professional. </w:t>
      </w:r>
    </w:p>
    <w:p w:rsidR="00F40164" w:rsidRPr="00F40164" w:rsidRDefault="00F40164" w:rsidP="00F40164">
      <w:pPr>
        <w:numPr>
          <w:ilvl w:val="0"/>
          <w:numId w:val="11"/>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bookmarkStart w:id="9" w:name="P73_11967"/>
      <w:bookmarkEnd w:id="9"/>
      <w:r w:rsidRPr="00F40164">
        <w:rPr>
          <w:rFonts w:ascii="Trebuchet MS" w:eastAsia="Times New Roman" w:hAnsi="Trebuchet MS" w:cs="Times New Roman"/>
          <w:b/>
          <w:bCs/>
          <w:sz w:val="20"/>
          <w:szCs w:val="20"/>
        </w:rPr>
        <w:t>Practice Web Site Considerations</w:t>
      </w:r>
      <w:r w:rsidRPr="00F40164">
        <w:rPr>
          <w:rFonts w:ascii="Trebuchet MS" w:eastAsia="Times New Roman" w:hAnsi="Trebuchet MS" w:cs="Times New Roman"/>
          <w:sz w:val="20"/>
          <w:szCs w:val="20"/>
        </w:rPr>
        <w:t>.</w:t>
      </w:r>
    </w:p>
    <w:p w:rsidR="00F40164" w:rsidRPr="00F40164" w:rsidRDefault="00F40164" w:rsidP="00F40164">
      <w:pPr>
        <w:numPr>
          <w:ilvl w:val="0"/>
          <w:numId w:val="12"/>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Authoritative Information.</w:t>
      </w:r>
      <w:r w:rsidRPr="00F40164">
        <w:rPr>
          <w:rFonts w:ascii="Trebuchet MS" w:eastAsia="Times New Roman" w:hAnsi="Trebuchet MS" w:cs="Times New Roman"/>
          <w:sz w:val="20"/>
          <w:szCs w:val="20"/>
        </w:rPr>
        <w:t xml:space="preserve"> Healthcare clinicians are responsible for the information they make available to their patients online. Information that is provided on a medical practice Web site or provided to a patient via secure email or other online services should come either directly from the healthcare clinician or from a recognized and credible source.</w:t>
      </w:r>
    </w:p>
    <w:p w:rsidR="00F40164" w:rsidRPr="00F40164" w:rsidRDefault="00F40164" w:rsidP="00F40164">
      <w:pPr>
        <w:numPr>
          <w:ilvl w:val="0"/>
          <w:numId w:val="12"/>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Commercial Information.</w:t>
      </w:r>
      <w:r w:rsidRPr="00F40164">
        <w:rPr>
          <w:rFonts w:ascii="Trebuchet MS" w:eastAsia="Times New Roman" w:hAnsi="Trebuchet MS" w:cs="Times New Roman"/>
          <w:sz w:val="20"/>
          <w:szCs w:val="20"/>
        </w:rPr>
        <w:t xml:space="preserve"> Web sites and online communications of an advertising, promotional or marketing nature may unrealistically raise patient expectations and subject clinicians to increased liability. Liability risks include implicit guarantees or implied warranty and potential violation of consumer protection laws designed to guard against deceptive business practices. This is particularly true when cosmetic procedures, off-label drug use, and non-FDA approved procedures are promoted. </w:t>
      </w:r>
    </w:p>
    <w:p w:rsidR="00F40164" w:rsidRPr="00F40164" w:rsidRDefault="00F40164" w:rsidP="00F40164">
      <w:pPr>
        <w:numPr>
          <w:ilvl w:val="0"/>
          <w:numId w:val="12"/>
        </w:numPr>
        <w:shd w:val="clear" w:color="auto" w:fill="FFFFFF"/>
        <w:spacing w:before="100" w:beforeAutospacing="1" w:after="100" w:afterAutospacing="1"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lastRenderedPageBreak/>
        <w:t xml:space="preserve">Links to Third Party Web Sites and Other Sources of Information. </w:t>
      </w:r>
      <w:r w:rsidRPr="00F40164">
        <w:rPr>
          <w:rFonts w:ascii="Trebuchet MS" w:eastAsia="Times New Roman" w:hAnsi="Trebuchet MS" w:cs="Times New Roman"/>
          <w:sz w:val="20"/>
          <w:szCs w:val="20"/>
        </w:rPr>
        <w:t>Clinicians are encouraged to post a disclaimer page between their Web site and a link to any third party Web site/information that advises patients and other visitors that they are leaving the clinician practice Web site and that the clinician and the practice do not assume any responsibility for the content or the privacy of other Web sites linked to the practice Web site.</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Online Clinical Consultations</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An Online Clinical Consultation is a consultation between a clinician and a patient, similar to an office visit or a call that would be documented in the patient’s chart, but conducted online via a secure messaging service. The clinician has the same obligations for patient care and follow-up as in face-to-face, written and telephone consultations. An online consultation should be substantive and specific to the patient’s personal health status.</w:t>
      </w:r>
      <w:bookmarkStart w:id="10" w:name="P78_13791"/>
      <w:bookmarkEnd w:id="10"/>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The following are additional considerations for fee-based online consultations:</w:t>
      </w:r>
    </w:p>
    <w:p w:rsidR="00F40164" w:rsidRPr="00F40164" w:rsidRDefault="00F40164" w:rsidP="00F40164">
      <w:pPr>
        <w:numPr>
          <w:ilvl w:val="0"/>
          <w:numId w:val="13"/>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Informed Consent.</w:t>
      </w:r>
      <w:r w:rsidRPr="00F40164">
        <w:rPr>
          <w:rFonts w:ascii="Trebuchet MS" w:eastAsia="Times New Roman" w:hAnsi="Trebuchet MS" w:cs="Times New Roman"/>
          <w:sz w:val="20"/>
          <w:szCs w:val="20"/>
        </w:rPr>
        <w:t xml:space="preserve"> Prior to initiating an online consultation, the healthcare clinician should obtain the patient’s informed consent to participate in the consultation, including discussing appropriate expectations, disclaimers and any fees that may be imposed. </w:t>
      </w:r>
    </w:p>
    <w:p w:rsidR="00F40164" w:rsidRPr="00F40164" w:rsidRDefault="00F40164" w:rsidP="00F40164">
      <w:pPr>
        <w:numPr>
          <w:ilvl w:val="0"/>
          <w:numId w:val="14"/>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Fee Disclosure.</w:t>
      </w:r>
      <w:r w:rsidRPr="00F40164">
        <w:rPr>
          <w:rFonts w:ascii="Trebuchet MS" w:eastAsia="Times New Roman" w:hAnsi="Trebuchet MS" w:cs="Times New Roman"/>
          <w:sz w:val="20"/>
          <w:szCs w:val="20"/>
        </w:rPr>
        <w:t xml:space="preserve"> Patients should be clearly informed about any charges that might be incurred and be made aware that charges may not be reimbursed by the patient’s health insurance. </w:t>
      </w:r>
    </w:p>
    <w:p w:rsidR="00F40164" w:rsidRPr="00F40164" w:rsidRDefault="00F40164" w:rsidP="00F40164">
      <w:pPr>
        <w:numPr>
          <w:ilvl w:val="0"/>
          <w:numId w:val="15"/>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 xml:space="preserve">Identity Disclosure. </w:t>
      </w:r>
      <w:r w:rsidRPr="00F40164">
        <w:rPr>
          <w:rFonts w:ascii="Trebuchet MS" w:eastAsia="Times New Roman" w:hAnsi="Trebuchet MS" w:cs="Times New Roman"/>
          <w:sz w:val="20"/>
          <w:szCs w:val="20"/>
        </w:rPr>
        <w:t xml:space="preserve">Clinical information that is provided to the patient during the course of an online consultation should come from, or be reviewed by, the consulting clinician whose identity should be made clear to the patient. </w:t>
      </w:r>
    </w:p>
    <w:p w:rsidR="00F40164" w:rsidRPr="00F40164" w:rsidRDefault="00F40164" w:rsidP="00F40164">
      <w:pPr>
        <w:numPr>
          <w:ilvl w:val="0"/>
          <w:numId w:val="16"/>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 xml:space="preserve">Available Information. </w:t>
      </w:r>
      <w:r w:rsidRPr="00F40164">
        <w:rPr>
          <w:rFonts w:ascii="Trebuchet MS" w:eastAsia="Times New Roman" w:hAnsi="Trebuchet MS" w:cs="Times New Roman"/>
          <w:sz w:val="20"/>
          <w:szCs w:val="20"/>
        </w:rPr>
        <w:t xml:space="preserve">Healthcare clinicians should state and document that the consultation is based only upon information made available by the patient to the clinician during or prior to the online consultation, including referring to the patient’s chart when appropriate and, therefore, may not be an adequate substitute for an office visit. </w:t>
      </w:r>
    </w:p>
    <w:p w:rsidR="00F40164" w:rsidRPr="00F40164" w:rsidRDefault="00F40164" w:rsidP="00F40164">
      <w:pPr>
        <w:numPr>
          <w:ilvl w:val="0"/>
          <w:numId w:val="17"/>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1" w:name="P84_14908"/>
      <w:bookmarkEnd w:id="11"/>
      <w:r w:rsidRPr="00F40164">
        <w:rPr>
          <w:rFonts w:ascii="Trebuchet MS" w:eastAsia="Times New Roman" w:hAnsi="Trebuchet MS" w:cs="Times New Roman"/>
          <w:b/>
          <w:bCs/>
          <w:sz w:val="20"/>
          <w:szCs w:val="20"/>
        </w:rPr>
        <w:t>Online Clinical Consultation vs. Online Diagnosis and Treatment.</w:t>
      </w:r>
      <w:r w:rsidRPr="00F40164">
        <w:rPr>
          <w:rFonts w:ascii="Trebuchet MS" w:eastAsia="Times New Roman" w:hAnsi="Trebuchet MS" w:cs="Times New Roman"/>
          <w:sz w:val="20"/>
          <w:szCs w:val="20"/>
        </w:rPr>
        <w:t xml:space="preserve"> Clinicians should distinguish between an online consultation related to a known pre-existing condition and the diagnosis and treatment of new conditions addressed for the first time online. The diagnosis and treatment of new conditions online may compromise patient safety and increase liability exposure. When a clinician declines to diagnose a new condition online, he or she should communicate the importance of immediate office follow-up to the patient and document this information in the patient’s office medical record. When the patient presents at the office, the clinician should document the time lapse between deferring the online consultation and the patient’s arrival in the office. </w:t>
      </w:r>
    </w:p>
    <w:p w:rsidR="00F40164" w:rsidRPr="00F40164" w:rsidRDefault="00F40164" w:rsidP="00F40164">
      <w:pPr>
        <w:numPr>
          <w:ilvl w:val="0"/>
          <w:numId w:val="18"/>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Follow-Up Plans.</w:t>
      </w:r>
      <w:r w:rsidRPr="00F40164">
        <w:rPr>
          <w:rFonts w:ascii="Trebuchet MS" w:eastAsia="Times New Roman" w:hAnsi="Trebuchet MS" w:cs="Times New Roman"/>
          <w:sz w:val="20"/>
          <w:szCs w:val="20"/>
        </w:rPr>
        <w:t xml:space="preserve"> An online consultation should include an explicit follow-up plan, as clinically indicated, that is clearly communicated to the patient.</w:t>
      </w:r>
    </w:p>
    <w:p w:rsidR="00F40164" w:rsidRPr="00F40164" w:rsidRDefault="00F40164" w:rsidP="00F40164">
      <w:pPr>
        <w:numPr>
          <w:ilvl w:val="0"/>
          <w:numId w:val="19"/>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bookmarkStart w:id="12" w:name="P86_15831"/>
      <w:bookmarkEnd w:id="12"/>
      <w:r w:rsidRPr="00F40164">
        <w:rPr>
          <w:rFonts w:ascii="Trebuchet MS" w:eastAsia="Times New Roman" w:hAnsi="Trebuchet MS" w:cs="Times New Roman"/>
          <w:b/>
          <w:bCs/>
          <w:sz w:val="20"/>
          <w:szCs w:val="20"/>
        </w:rPr>
        <w:lastRenderedPageBreak/>
        <w:t>Internet Pharmacies.</w:t>
      </w:r>
      <w:r w:rsidRPr="00F40164">
        <w:rPr>
          <w:rFonts w:ascii="Trebuchet MS" w:eastAsia="Times New Roman" w:hAnsi="Trebuchet MS" w:cs="Times New Roman"/>
          <w:sz w:val="20"/>
          <w:szCs w:val="20"/>
        </w:rPr>
        <w:t xml:space="preserve"> There are potential risks when patients are referred to online pharmacies. The National Association of Boards of Pharmacy has a Verified Internet Pharmacy Practice Sites (VIPPS) program (</w:t>
      </w:r>
      <w:hyperlink r:id="rId5" w:tgtFrame="_blank" w:history="1">
        <w:r w:rsidRPr="00F40164">
          <w:rPr>
            <w:rFonts w:ascii="Trebuchet MS" w:eastAsia="Times New Roman" w:hAnsi="Trebuchet MS" w:cs="Times New Roman"/>
            <w:color w:val="417DBE"/>
            <w:sz w:val="20"/>
          </w:rPr>
          <w:t>http://www.nabp.net/programs/accreditation/vipps</w:t>
        </w:r>
      </w:hyperlink>
      <w:r w:rsidRPr="00F40164">
        <w:rPr>
          <w:rFonts w:ascii="Trebuchet MS" w:eastAsia="Times New Roman" w:hAnsi="Trebuchet MS" w:cs="Times New Roman"/>
          <w:sz w:val="20"/>
          <w:szCs w:val="20"/>
        </w:rPr>
        <w:t>/). Pharmacies in compliance with its standards show the VIPPS seal of approval on their home page.</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bookmarkStart w:id="13" w:name="P87_16189"/>
      <w:bookmarkEnd w:id="13"/>
      <w:r w:rsidRPr="00F40164">
        <w:rPr>
          <w:rFonts w:ascii="Trebuchet MS" w:eastAsia="Times New Roman" w:hAnsi="Trebuchet MS" w:cs="Times New Roman"/>
          <w:b/>
          <w:bCs/>
          <w:sz w:val="20"/>
          <w:szCs w:val="20"/>
        </w:rPr>
        <w:t xml:space="preserve">Social Media Liability Risks </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Social media (YouTube, Twitter, </w:t>
      </w:r>
      <w:proofErr w:type="spellStart"/>
      <w:r w:rsidRPr="00F40164">
        <w:rPr>
          <w:rFonts w:ascii="Trebuchet MS" w:eastAsia="Times New Roman" w:hAnsi="Trebuchet MS" w:cs="Times New Roman"/>
          <w:sz w:val="20"/>
          <w:szCs w:val="20"/>
        </w:rPr>
        <w:t>Facebook</w:t>
      </w:r>
      <w:proofErr w:type="spellEnd"/>
      <w:r w:rsidRPr="00F40164">
        <w:rPr>
          <w:rFonts w:ascii="Trebuchet MS" w:eastAsia="Times New Roman" w:hAnsi="Trebuchet MS" w:cs="Times New Roman"/>
          <w:sz w:val="20"/>
          <w:szCs w:val="20"/>
        </w:rPr>
        <w:t>, MySpace, blogs, etc.) are used by physicians for physician-to-physician networking. However, these types of media are not appropriate for physician-patient communications, because they are too informal and lack an atmosphere of professionalism – making it easy to lapse into casual conversation and inadvertently cross the boundary between personal and professional relationships. The following recommendations are made regarding the use of social media:</w:t>
      </w:r>
    </w:p>
    <w:p w:rsidR="00F40164" w:rsidRPr="00F40164" w:rsidRDefault="00F40164" w:rsidP="00F40164">
      <w:pPr>
        <w:numPr>
          <w:ilvl w:val="0"/>
          <w:numId w:val="20"/>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Do not discuss individual patients, dispense medical advice, </w:t>
      </w:r>
      <w:proofErr w:type="gramStart"/>
      <w:r w:rsidRPr="00F40164">
        <w:rPr>
          <w:rFonts w:ascii="Trebuchet MS" w:eastAsia="Times New Roman" w:hAnsi="Trebuchet MS" w:cs="Times New Roman"/>
          <w:sz w:val="20"/>
          <w:szCs w:val="20"/>
        </w:rPr>
        <w:t>respond</w:t>
      </w:r>
      <w:proofErr w:type="gramEnd"/>
      <w:r w:rsidRPr="00F40164">
        <w:rPr>
          <w:rFonts w:ascii="Trebuchet MS" w:eastAsia="Times New Roman" w:hAnsi="Trebuchet MS" w:cs="Times New Roman"/>
          <w:sz w:val="20"/>
          <w:szCs w:val="20"/>
        </w:rPr>
        <w:t xml:space="preserve"> to clinical questions from patients or otherwise “practice medicine” on these sites. These types of media do not use HIPAA-compliant secure networks, and inadvertently disclosing a patient’s health information will violate HIPAA.</w:t>
      </w:r>
    </w:p>
    <w:p w:rsidR="00F40164" w:rsidRPr="00F40164" w:rsidRDefault="00F40164" w:rsidP="00F40164">
      <w:pPr>
        <w:numPr>
          <w:ilvl w:val="0"/>
          <w:numId w:val="21"/>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Presume that anything you say or post is in the public domain, and remember that anything typed or e-mailed creates a permanent record that is subject to discovery. </w:t>
      </w:r>
    </w:p>
    <w:p w:rsidR="00F40164" w:rsidRPr="00F40164" w:rsidRDefault="00F40164" w:rsidP="00F40164">
      <w:pPr>
        <w:numPr>
          <w:ilvl w:val="0"/>
          <w:numId w:val="22"/>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Physician office practices should have written confidentiality and communication policies with employees that clearly forbid online disclosure or discussion of patient health information.</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bookmarkStart w:id="14" w:name="P92_17381"/>
      <w:bookmarkEnd w:id="14"/>
      <w:r w:rsidRPr="00F40164">
        <w:rPr>
          <w:rFonts w:ascii="Trebuchet MS" w:eastAsia="Times New Roman" w:hAnsi="Trebuchet MS" w:cs="Times New Roman"/>
          <w:b/>
          <w:bCs/>
          <w:sz w:val="20"/>
          <w:szCs w:val="20"/>
        </w:rPr>
        <w:t>Personal Health Records</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PHRs introduce potential risks. When clinicians offer a PHR service to their patients, the patients/caregivers should be required to accept a PHR Terms of Service Agreement, either online through the PHR service provided or in writing from the practice, which, at a minimum, should include the following:</w:t>
      </w:r>
    </w:p>
    <w:p w:rsidR="00F40164" w:rsidRPr="00F40164" w:rsidRDefault="00F40164" w:rsidP="00F40164">
      <w:pPr>
        <w:numPr>
          <w:ilvl w:val="0"/>
          <w:numId w:val="23"/>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The PHR service is distinct from the medical record maintained by the physician or healthcare provider. Entries in the PHR do not become part of the medical record unless and until they are formally accepted for inclusion by the clinician. When information is imported from a PHR into the clinician’s record, its origin should be documented. </w:t>
      </w:r>
    </w:p>
    <w:p w:rsidR="00F40164" w:rsidRPr="00F40164" w:rsidRDefault="00F40164" w:rsidP="00F40164">
      <w:pPr>
        <w:numPr>
          <w:ilvl w:val="0"/>
          <w:numId w:val="24"/>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It should be made clear to patients that physicians are not responsible for knowing the information contained within a PHR except when they have consulted it in association with a formal office visit or Online Clinical Consultation. </w:t>
      </w:r>
    </w:p>
    <w:p w:rsidR="00F40164" w:rsidRPr="00F40164" w:rsidRDefault="00F40164" w:rsidP="00F40164">
      <w:pPr>
        <w:numPr>
          <w:ilvl w:val="0"/>
          <w:numId w:val="25"/>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Patients are responsible for notifying their healthcare clinician(s) if they have a PHR.</w:t>
      </w:r>
    </w:p>
    <w:p w:rsidR="00F40164" w:rsidRPr="00F40164" w:rsidRDefault="00F40164" w:rsidP="00F40164">
      <w:pPr>
        <w:numPr>
          <w:ilvl w:val="0"/>
          <w:numId w:val="26"/>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The PHR is not a substitute for directly communicating the patient’s medical information to his or her physician in a traditional format (in-person, by telephone, etc.). Patients should not assume that their Personal Health Record has ever been seen or reviewed by their clinician(s).</w:t>
      </w:r>
    </w:p>
    <w:p w:rsidR="00F40164" w:rsidRPr="00F40164" w:rsidRDefault="00F40164" w:rsidP="00F40164">
      <w:pPr>
        <w:numPr>
          <w:ilvl w:val="0"/>
          <w:numId w:val="27"/>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lastRenderedPageBreak/>
        <w:t xml:space="preserve">It is the patient’s responsibility to notify their healthcare provider(s) when new information appears in their PHR – whether they personally update it or it is automatically updated by third parties (health plans and other insurers, pharmacies, laboratories, etc.). </w:t>
      </w:r>
    </w:p>
    <w:p w:rsidR="00F40164" w:rsidRPr="00F40164" w:rsidRDefault="00F40164" w:rsidP="00F40164">
      <w:pPr>
        <w:numPr>
          <w:ilvl w:val="0"/>
          <w:numId w:val="28"/>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The provider should make it clear that the responsibility for the accuracy of the information in the PHR remains with the patient or caregiver as the owner of the record.</w:t>
      </w:r>
    </w:p>
    <w:p w:rsidR="00F40164" w:rsidRPr="00F40164" w:rsidRDefault="00F40164" w:rsidP="00F40164">
      <w:pPr>
        <w:numPr>
          <w:ilvl w:val="0"/>
          <w:numId w:val="29"/>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Developing and maintaining a PHR on a clinician practice Web site requires that patients have a pre-existing relationship with that clinician.</w:t>
      </w:r>
    </w:p>
    <w:p w:rsidR="00F40164" w:rsidRPr="00F40164" w:rsidRDefault="00F40164" w:rsidP="00F40164">
      <w:pPr>
        <w:numPr>
          <w:ilvl w:val="0"/>
          <w:numId w:val="30"/>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Materials and information available through the PHR are for informational purposes only and are not a substitute for professional medical advice. </w:t>
      </w:r>
    </w:p>
    <w:p w:rsidR="00F40164" w:rsidRPr="00F40164" w:rsidRDefault="00F40164" w:rsidP="00F40164">
      <w:pPr>
        <w:numPr>
          <w:ilvl w:val="0"/>
          <w:numId w:val="31"/>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Patients/caregivers should agree that they will contact their clinician if they have any questions about their medical condition or if they need medical help.</w:t>
      </w:r>
    </w:p>
    <w:p w:rsidR="00F40164" w:rsidRPr="00F40164" w:rsidRDefault="00F40164" w:rsidP="00F40164">
      <w:pPr>
        <w:numPr>
          <w:ilvl w:val="0"/>
          <w:numId w:val="32"/>
        </w:numPr>
        <w:shd w:val="clear" w:color="auto" w:fill="FFFFFF"/>
        <w:spacing w:before="100" w:beforeAutospacing="1" w:after="240"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Patients/caregivers should agree that if they need emergency medical help, they should immediately call 911, their local emergency number, their physician, or go to an emergency department. </w:t>
      </w:r>
    </w:p>
    <w:p w:rsidR="00F40164" w:rsidRPr="00F40164" w:rsidRDefault="00F40164" w:rsidP="00F40164">
      <w:pPr>
        <w:numPr>
          <w:ilvl w:val="0"/>
          <w:numId w:val="33"/>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r w:rsidRPr="00F40164">
        <w:rPr>
          <w:rFonts w:ascii="Trebuchet MS" w:eastAsia="Times New Roman" w:hAnsi="Trebuchet MS" w:cs="Times New Roman"/>
          <w:sz w:val="20"/>
          <w:szCs w:val="20"/>
        </w:rPr>
        <w:t>Patients/caregivers should agree that their User ID and Password are their responsibility to protect from unauthorized access and use by third parties.</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b/>
          <w:bCs/>
          <w:sz w:val="20"/>
          <w:szCs w:val="20"/>
        </w:rPr>
        <w:t>Electronic Health Record Liability Risks</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The EHR has the potential to advance the practice of good medicine. However, when new technologies are adopted, there are always unanticipated consequences. Real and potential liability risks are beginning to be recognized, and it is important for physicians to become familiar with them.</w:t>
      </w:r>
    </w:p>
    <w:p w:rsidR="00F40164" w:rsidRPr="00F40164" w:rsidRDefault="00F40164" w:rsidP="00F40164">
      <w:pPr>
        <w:numPr>
          <w:ilvl w:val="0"/>
          <w:numId w:val="34"/>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5" w:name="P107_20250"/>
      <w:bookmarkEnd w:id="15"/>
      <w:r w:rsidRPr="00F40164">
        <w:rPr>
          <w:rFonts w:ascii="Trebuchet MS" w:eastAsia="Times New Roman" w:hAnsi="Trebuchet MS" w:cs="Times New Roman"/>
          <w:sz w:val="20"/>
          <w:szCs w:val="20"/>
        </w:rPr>
        <w:t>Doctors are responsible for information to which they have reasonable access – and there may be increased access to e-health data from outside the practice that enters the practice EHR or Web site or is accessed from the practice EHR or Web site, i.e. hospital charts, consultants’ reports, lab results and radiology reports, community medication histories, etc. If patient injury results from a failure to access or utilize available patient information, the physician may be held liable.</w:t>
      </w:r>
    </w:p>
    <w:p w:rsidR="00F40164" w:rsidRPr="00F40164" w:rsidRDefault="00F40164" w:rsidP="00F40164">
      <w:pPr>
        <w:numPr>
          <w:ilvl w:val="0"/>
          <w:numId w:val="35"/>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proofErr w:type="gramStart"/>
      <w:r w:rsidRPr="00F40164">
        <w:rPr>
          <w:rFonts w:ascii="Trebuchet MS" w:eastAsia="Times New Roman" w:hAnsi="Trebuchet MS" w:cs="Times New Roman"/>
          <w:sz w:val="20"/>
          <w:szCs w:val="20"/>
        </w:rPr>
        <w:t>e-Prescribing</w:t>
      </w:r>
      <w:proofErr w:type="gramEnd"/>
      <w:r w:rsidRPr="00F40164">
        <w:rPr>
          <w:rFonts w:ascii="Trebuchet MS" w:eastAsia="Times New Roman" w:hAnsi="Trebuchet MS" w:cs="Times New Roman"/>
          <w:sz w:val="20"/>
          <w:szCs w:val="20"/>
        </w:rPr>
        <w:t xml:space="preserve"> is being rapidly adopted, driven by federal financial incentives, and is currently used by approximately 25% of office practices. It works as follows:</w:t>
      </w:r>
    </w:p>
    <w:p w:rsidR="00F40164" w:rsidRPr="00F40164" w:rsidRDefault="00F40164" w:rsidP="00F40164">
      <w:pPr>
        <w:numPr>
          <w:ilvl w:val="0"/>
          <w:numId w:val="36"/>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 xml:space="preserve">Most electronic prescriptions are transmitted via a </w:t>
      </w:r>
      <w:proofErr w:type="spellStart"/>
      <w:r w:rsidRPr="00F40164">
        <w:rPr>
          <w:rFonts w:ascii="Trebuchet MS" w:eastAsia="Times New Roman" w:hAnsi="Trebuchet MS" w:cs="Times New Roman"/>
          <w:sz w:val="20"/>
          <w:szCs w:val="20"/>
        </w:rPr>
        <w:t>Surescripts</w:t>
      </w:r>
      <w:proofErr w:type="spellEnd"/>
      <w:r w:rsidRPr="00F40164">
        <w:rPr>
          <w:rFonts w:ascii="Trebuchet MS" w:eastAsia="Times New Roman" w:hAnsi="Trebuchet MS" w:cs="Times New Roman"/>
          <w:sz w:val="20"/>
          <w:szCs w:val="20"/>
        </w:rPr>
        <w:t xml:space="preserve"> network (they have data on 200 million insureds) to all chain pharmacies, 60% of independent pharmacies and most insurance formularies. </w:t>
      </w:r>
    </w:p>
    <w:p w:rsidR="00F40164" w:rsidRPr="00F40164" w:rsidRDefault="00F40164" w:rsidP="00F40164">
      <w:pPr>
        <w:numPr>
          <w:ilvl w:val="0"/>
          <w:numId w:val="36"/>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Most EHRs have an e-Prescribing module, and e-Prescribing is a required capability under the federal financial incentives for Meaningful Use of EHRs.</w:t>
      </w:r>
    </w:p>
    <w:p w:rsidR="00F40164" w:rsidRPr="00F40164" w:rsidRDefault="00F40164" w:rsidP="00F40164">
      <w:pPr>
        <w:numPr>
          <w:ilvl w:val="0"/>
          <w:numId w:val="36"/>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lastRenderedPageBreak/>
        <w:t xml:space="preserve">Standalone e-Prescribing software is also available at no cost from </w:t>
      </w:r>
      <w:proofErr w:type="spellStart"/>
      <w:r w:rsidRPr="00F40164">
        <w:rPr>
          <w:rFonts w:ascii="Trebuchet MS" w:eastAsia="Times New Roman" w:hAnsi="Trebuchet MS" w:cs="Times New Roman"/>
          <w:sz w:val="20"/>
          <w:szCs w:val="20"/>
        </w:rPr>
        <w:t>Allscripts</w:t>
      </w:r>
      <w:proofErr w:type="spellEnd"/>
      <w:r w:rsidRPr="00F40164">
        <w:rPr>
          <w:rFonts w:ascii="Trebuchet MS" w:eastAsia="Times New Roman" w:hAnsi="Trebuchet MS" w:cs="Times New Roman"/>
          <w:sz w:val="20"/>
          <w:szCs w:val="20"/>
        </w:rPr>
        <w:t xml:space="preserve"> and the National </w:t>
      </w:r>
      <w:proofErr w:type="spellStart"/>
      <w:r w:rsidRPr="00F40164">
        <w:rPr>
          <w:rFonts w:ascii="Trebuchet MS" w:eastAsia="Times New Roman" w:hAnsi="Trebuchet MS" w:cs="Times New Roman"/>
          <w:sz w:val="20"/>
          <w:szCs w:val="20"/>
        </w:rPr>
        <w:t>ePrescribing</w:t>
      </w:r>
      <w:proofErr w:type="spellEnd"/>
      <w:r w:rsidRPr="00F40164">
        <w:rPr>
          <w:rFonts w:ascii="Trebuchet MS" w:eastAsia="Times New Roman" w:hAnsi="Trebuchet MS" w:cs="Times New Roman"/>
          <w:sz w:val="20"/>
          <w:szCs w:val="20"/>
        </w:rPr>
        <w:t xml:space="preserve"> Patient Safety Initiative (NEPSI). </w:t>
      </w:r>
    </w:p>
    <w:p w:rsidR="00F40164" w:rsidRPr="00F40164" w:rsidRDefault="00F40164" w:rsidP="00F40164">
      <w:pPr>
        <w:numPr>
          <w:ilvl w:val="0"/>
          <w:numId w:val="36"/>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Most programs also check for drug interactions, dosage errors, medication allergies and patient-specific medication factors.</w:t>
      </w:r>
    </w:p>
    <w:p w:rsidR="00F40164" w:rsidRPr="00F40164" w:rsidRDefault="00F40164" w:rsidP="00F40164">
      <w:pPr>
        <w:numPr>
          <w:ilvl w:val="0"/>
          <w:numId w:val="36"/>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Office prescription renewal requests can be synchronized with this system and with some Personal Health Records.</w:t>
      </w:r>
    </w:p>
    <w:p w:rsidR="00F40164" w:rsidRPr="00F40164" w:rsidRDefault="00F40164" w:rsidP="00F40164">
      <w:pPr>
        <w:numPr>
          <w:ilvl w:val="0"/>
          <w:numId w:val="36"/>
        </w:numPr>
        <w:shd w:val="clear" w:color="auto" w:fill="FFFFFF"/>
        <w:spacing w:before="100" w:beforeAutospacing="1" w:after="240" w:line="285" w:lineRule="atLeast"/>
        <w:ind w:left="960"/>
        <w:rPr>
          <w:rFonts w:ascii="Trebuchet MS" w:eastAsia="Times New Roman" w:hAnsi="Trebuchet MS" w:cs="Times New Roman"/>
          <w:sz w:val="20"/>
          <w:szCs w:val="20"/>
        </w:rPr>
      </w:pPr>
      <w:proofErr w:type="gramStart"/>
      <w:r w:rsidRPr="00F40164">
        <w:rPr>
          <w:rFonts w:ascii="Trebuchet MS" w:eastAsia="Times New Roman" w:hAnsi="Trebuchet MS" w:cs="Times New Roman"/>
          <w:sz w:val="20"/>
          <w:szCs w:val="20"/>
        </w:rPr>
        <w:t>e-Prescribing</w:t>
      </w:r>
      <w:proofErr w:type="gramEnd"/>
      <w:r w:rsidRPr="00F40164">
        <w:rPr>
          <w:rFonts w:ascii="Trebuchet MS" w:eastAsia="Times New Roman" w:hAnsi="Trebuchet MS" w:cs="Times New Roman"/>
          <w:sz w:val="20"/>
          <w:szCs w:val="20"/>
        </w:rPr>
        <w:t xml:space="preserve"> encourages patients to fill prescriptions (currently 20% do not), because the prescription is sent to the pharmacy electronically and is ready to be picked up when they arrive. </w:t>
      </w:r>
    </w:p>
    <w:p w:rsidR="00F40164" w:rsidRPr="00F40164" w:rsidRDefault="00F40164" w:rsidP="00F40164">
      <w:pPr>
        <w:numPr>
          <w:ilvl w:val="0"/>
          <w:numId w:val="36"/>
        </w:numPr>
        <w:shd w:val="clear" w:color="auto" w:fill="FFFFFF"/>
        <w:spacing w:before="100" w:beforeAutospacing="1" w:after="100" w:afterAutospacing="1"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Costs are lowered by flagging generic and “on-formulary” drugs.</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However, practices are exposed to community medication histories through e-Prescribing; i.e., Dr A renews a medication, and his e-Prescribing program sends an alert advising him that it could interact with another drug. He has not prescribed that drug – so his office staff will have to contact the patient to identify who has, and then Dr A will have to contact Dr X to “negotiate” which drug will be discontinued or changed. If failure to do so results in patient injury from a drug interaction, the physician may be liable.</w:t>
      </w:r>
    </w:p>
    <w:p w:rsidR="00F40164" w:rsidRPr="00F40164" w:rsidRDefault="00F40164" w:rsidP="00F40164">
      <w:pPr>
        <w:numPr>
          <w:ilvl w:val="0"/>
          <w:numId w:val="37"/>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6" w:name="P117_22460"/>
      <w:bookmarkEnd w:id="16"/>
      <w:r w:rsidRPr="00F40164">
        <w:rPr>
          <w:rFonts w:ascii="Trebuchet MS" w:eastAsia="Times New Roman" w:hAnsi="Trebuchet MS" w:cs="Times New Roman"/>
          <w:sz w:val="20"/>
          <w:szCs w:val="20"/>
        </w:rPr>
        <w:t xml:space="preserve">Many EHRs provide e-Prescribing drug information and Clinical Decision Support, and the government’s </w:t>
      </w:r>
      <w:r w:rsidRPr="00F40164">
        <w:rPr>
          <w:rFonts w:ascii="Trebuchet MS" w:eastAsia="Times New Roman" w:hAnsi="Trebuchet MS" w:cs="Times New Roman"/>
          <w:i/>
          <w:iCs/>
          <w:sz w:val="20"/>
          <w:szCs w:val="20"/>
        </w:rPr>
        <w:t>Meaningful Use</w:t>
      </w:r>
      <w:r w:rsidRPr="00F40164">
        <w:rPr>
          <w:rFonts w:ascii="Trebuchet MS" w:eastAsia="Times New Roman" w:hAnsi="Trebuchet MS" w:cs="Times New Roman"/>
          <w:sz w:val="20"/>
          <w:szCs w:val="20"/>
        </w:rPr>
        <w:t xml:space="preserve"> requirements mandate minimum functionalities in both of these areas. Clinicians should know the source of the drug and Clinical Decision Support information in their EHRs, because the standards to which they may be held accountable are the clinical standards for their specialty and the information in FDA-approved drug labels or drug Alerts.</w:t>
      </w:r>
    </w:p>
    <w:p w:rsidR="00F40164" w:rsidRPr="00F40164" w:rsidRDefault="00F40164" w:rsidP="00F40164">
      <w:pPr>
        <w:numPr>
          <w:ilvl w:val="0"/>
          <w:numId w:val="38"/>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7" w:name="P118_22923"/>
      <w:bookmarkEnd w:id="17"/>
      <w:r w:rsidRPr="00F40164">
        <w:rPr>
          <w:rFonts w:ascii="Trebuchet MS" w:eastAsia="Times New Roman" w:hAnsi="Trebuchet MS" w:cs="Times New Roman"/>
          <w:sz w:val="20"/>
          <w:szCs w:val="20"/>
        </w:rPr>
        <w:t xml:space="preserve">Doctors may ignore, override or disable alerts, warnings, </w:t>
      </w:r>
      <w:proofErr w:type="gramStart"/>
      <w:r w:rsidRPr="00F40164">
        <w:rPr>
          <w:rFonts w:ascii="Trebuchet MS" w:eastAsia="Times New Roman" w:hAnsi="Trebuchet MS" w:cs="Times New Roman"/>
          <w:sz w:val="20"/>
          <w:szCs w:val="20"/>
        </w:rPr>
        <w:t>reminders</w:t>
      </w:r>
      <w:proofErr w:type="gramEnd"/>
      <w:r w:rsidRPr="00F40164">
        <w:rPr>
          <w:rFonts w:ascii="Trebuchet MS" w:eastAsia="Times New Roman" w:hAnsi="Trebuchet MS" w:cs="Times New Roman"/>
          <w:sz w:val="20"/>
          <w:szCs w:val="20"/>
        </w:rPr>
        <w:t xml:space="preserve"> and embedded practice guidelines – due to “alert fatigue.” If it can be shown that following an alert or guideline would have prevented an adverse patient event, the physician may be found liable for failing to follow it.</w:t>
      </w:r>
    </w:p>
    <w:p w:rsidR="00F40164" w:rsidRPr="00F40164" w:rsidRDefault="00F40164" w:rsidP="00F40164">
      <w:pPr>
        <w:numPr>
          <w:ilvl w:val="0"/>
          <w:numId w:val="39"/>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8" w:name="P119_23221"/>
      <w:bookmarkEnd w:id="18"/>
      <w:r w:rsidRPr="00F40164">
        <w:rPr>
          <w:rFonts w:ascii="Trebuchet MS" w:eastAsia="Times New Roman" w:hAnsi="Trebuchet MS" w:cs="Times New Roman"/>
          <w:sz w:val="20"/>
          <w:szCs w:val="20"/>
        </w:rPr>
        <w:t>Meaningful Use requires online patient connectivity, and many EHRs have patient questionnaires that utilize an algorithm to interview the patient. These questionnaires often address, and memorialize in the record, issues that many physicians are simply not prepared to pursue (depression, substance abuse, etc.). Lack of or incomplete follow-up can create potential liability – and there is a clear record for the plaintiff’s attorney to follow.</w:t>
      </w:r>
    </w:p>
    <w:p w:rsidR="00F40164" w:rsidRPr="00F40164" w:rsidRDefault="00F40164" w:rsidP="00F40164">
      <w:pPr>
        <w:numPr>
          <w:ilvl w:val="0"/>
          <w:numId w:val="40"/>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19" w:name="P120_23673"/>
      <w:bookmarkEnd w:id="19"/>
      <w:r w:rsidRPr="00F40164">
        <w:rPr>
          <w:rFonts w:ascii="Trebuchet MS" w:eastAsia="Times New Roman" w:hAnsi="Trebuchet MS" w:cs="Times New Roman"/>
          <w:sz w:val="20"/>
          <w:szCs w:val="20"/>
        </w:rPr>
        <w:t>Vendor contracts may attempt to shift medical liability risks resulting from faulty software design or decision support data onto the physician. They may also provide that the vendor has rights to utilize patient or provider data. Read these contracts carefully.</w:t>
      </w:r>
    </w:p>
    <w:p w:rsidR="00F40164" w:rsidRPr="00F40164" w:rsidRDefault="00F40164" w:rsidP="00F40164">
      <w:pPr>
        <w:numPr>
          <w:ilvl w:val="0"/>
          <w:numId w:val="41"/>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20" w:name="P121_23938"/>
      <w:bookmarkEnd w:id="20"/>
      <w:r w:rsidRPr="00F40164">
        <w:rPr>
          <w:rFonts w:ascii="Trebuchet MS" w:eastAsia="Times New Roman" w:hAnsi="Trebuchet MS" w:cs="Times New Roman"/>
          <w:sz w:val="20"/>
          <w:szCs w:val="20"/>
        </w:rPr>
        <w:t xml:space="preserve">Electronic Discovery: Lawyers may request not only printed copies of the EHR but also the “raw” e-data for metadata analysis, i.e. log-on time, what was reviewed and for how long, what changes or additions were made – and when, log-off time, etc. Smart phone and email records </w:t>
      </w:r>
      <w:r w:rsidRPr="00F40164">
        <w:rPr>
          <w:rFonts w:ascii="Trebuchet MS" w:eastAsia="Times New Roman" w:hAnsi="Trebuchet MS" w:cs="Times New Roman"/>
          <w:sz w:val="20"/>
          <w:szCs w:val="20"/>
        </w:rPr>
        <w:lastRenderedPageBreak/>
        <w:t>are also discoverable. Physicians need to know that all of their interactions with the EHR are time-tracked and discoverable.</w:t>
      </w:r>
    </w:p>
    <w:p w:rsidR="00F40164" w:rsidRPr="00F40164" w:rsidRDefault="00F40164" w:rsidP="00F40164">
      <w:pPr>
        <w:numPr>
          <w:ilvl w:val="0"/>
          <w:numId w:val="42"/>
        </w:numPr>
        <w:shd w:val="clear" w:color="auto" w:fill="FFFFFF"/>
        <w:spacing w:before="100" w:beforeAutospacing="1" w:after="240" w:line="285" w:lineRule="atLeast"/>
        <w:ind w:left="600"/>
        <w:rPr>
          <w:rFonts w:ascii="Trebuchet MS" w:eastAsia="Times New Roman" w:hAnsi="Trebuchet MS" w:cs="Times New Roman"/>
          <w:sz w:val="20"/>
          <w:szCs w:val="20"/>
        </w:rPr>
      </w:pPr>
      <w:bookmarkStart w:id="21" w:name="P122_24349"/>
      <w:bookmarkEnd w:id="21"/>
      <w:r w:rsidRPr="00F40164">
        <w:rPr>
          <w:rFonts w:ascii="Trebuchet MS" w:eastAsia="Times New Roman" w:hAnsi="Trebuchet MS" w:cs="Times New Roman"/>
          <w:sz w:val="20"/>
          <w:szCs w:val="20"/>
        </w:rPr>
        <w:t>Doctors may “copy” information from a prior note or visit and “paste” it into a new note or visit (known as “cloning”), making changes where appropriate or documenting by exception. This may result in irrelevant over-documentation and the patient may appear to have more or less complex problems since the prior encounter. By substituting a word processor for the physician’s thoughtful review and analysis, the narrative documentation of daily events and the patient’s progress may be lost, thereby compromising the record of the patient’s course. The quality of notes and documentation may be further compromised by the use of templates.</w:t>
      </w:r>
    </w:p>
    <w:p w:rsidR="00F40164" w:rsidRPr="00F40164" w:rsidRDefault="00F40164" w:rsidP="00F40164">
      <w:pPr>
        <w:numPr>
          <w:ilvl w:val="0"/>
          <w:numId w:val="43"/>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bookmarkStart w:id="22" w:name="P123_25009"/>
      <w:bookmarkEnd w:id="22"/>
      <w:r w:rsidRPr="00F40164">
        <w:rPr>
          <w:rFonts w:ascii="Trebuchet MS" w:eastAsia="Times New Roman" w:hAnsi="Trebuchet MS" w:cs="Times New Roman"/>
          <w:sz w:val="20"/>
          <w:szCs w:val="20"/>
        </w:rPr>
        <w:t>EHRs may auto-populate fields in the History and Physical (from data derived from data fields in a prior H&amp;P) and in Procedure Notes (from personalized or packaged templates). While over-documentation may facilitate billing, if erroneous or outdated information is entered, it may increase liability. For example: An internist was deposed and his EHR was the medical record. Some of the auto-populated fields contained obviously wrong information, and at deposition the plaintiff’s attorney asked these questions:</w:t>
      </w:r>
    </w:p>
    <w:p w:rsidR="00F40164" w:rsidRPr="00F40164" w:rsidRDefault="00F40164" w:rsidP="00F40164">
      <w:pPr>
        <w:numPr>
          <w:ilvl w:val="0"/>
          <w:numId w:val="44"/>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“So is the information in this record accurate or not?”</w:t>
      </w:r>
    </w:p>
    <w:p w:rsidR="00F40164" w:rsidRPr="00F40164" w:rsidRDefault="00F40164" w:rsidP="00F40164">
      <w:pPr>
        <w:numPr>
          <w:ilvl w:val="0"/>
          <w:numId w:val="44"/>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“Do you bother looking at your records?”</w:t>
      </w:r>
    </w:p>
    <w:p w:rsidR="00F40164" w:rsidRPr="00F40164" w:rsidRDefault="00F40164" w:rsidP="00F40164">
      <w:pPr>
        <w:numPr>
          <w:ilvl w:val="0"/>
          <w:numId w:val="44"/>
        </w:numPr>
        <w:shd w:val="clear" w:color="auto" w:fill="FFFFFF"/>
        <w:spacing w:before="100" w:beforeAutospacing="1" w:after="240"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“If these ‘auto-populated’ fields are incorrect, can we trust anything in this record?”</w:t>
      </w:r>
    </w:p>
    <w:p w:rsidR="00F40164" w:rsidRPr="00F40164" w:rsidRDefault="00F40164" w:rsidP="00F40164">
      <w:pPr>
        <w:numPr>
          <w:ilvl w:val="0"/>
          <w:numId w:val="44"/>
        </w:numPr>
        <w:shd w:val="clear" w:color="auto" w:fill="FFFFFF"/>
        <w:spacing w:before="100" w:beforeAutospacing="1" w:after="100" w:afterAutospacing="1" w:line="285" w:lineRule="atLeast"/>
        <w:ind w:left="960"/>
        <w:rPr>
          <w:rFonts w:ascii="Trebuchet MS" w:eastAsia="Times New Roman" w:hAnsi="Trebuchet MS" w:cs="Times New Roman"/>
          <w:sz w:val="20"/>
          <w:szCs w:val="20"/>
        </w:rPr>
      </w:pPr>
      <w:r w:rsidRPr="00F40164">
        <w:rPr>
          <w:rFonts w:ascii="Trebuchet MS" w:eastAsia="Times New Roman" w:hAnsi="Trebuchet MS" w:cs="Times New Roman"/>
          <w:sz w:val="20"/>
          <w:szCs w:val="20"/>
        </w:rPr>
        <w:t>“Do you deliver the same level of care as you do in record keeping?”</w:t>
      </w:r>
    </w:p>
    <w:p w:rsidR="00F40164" w:rsidRPr="00F40164" w:rsidRDefault="00F40164" w:rsidP="00F40164">
      <w:pPr>
        <w:shd w:val="clear" w:color="auto" w:fill="FFFFFF"/>
        <w:spacing w:after="0" w:line="285" w:lineRule="atLeast"/>
        <w:rPr>
          <w:rFonts w:ascii="Trebuchet MS" w:eastAsia="Times New Roman" w:hAnsi="Trebuchet MS" w:cs="Times New Roman"/>
          <w:sz w:val="20"/>
          <w:szCs w:val="20"/>
        </w:rPr>
      </w:pPr>
      <w:r w:rsidRPr="00F40164">
        <w:rPr>
          <w:rFonts w:ascii="Trebuchet MS" w:eastAsia="Times New Roman" w:hAnsi="Trebuchet MS" w:cs="Times New Roman"/>
          <w:sz w:val="20"/>
          <w:szCs w:val="20"/>
        </w:rPr>
        <w:t>Templates with drop down menus facilitate data entry. However, they are usually integrated with other automated features, and an entry error may be perpetuated elsewhere in the EHR – and overlooked, resulting in a new potential for error. Erroneous information, once entered into the EHR, is easily perpetuated and disseminated.</w:t>
      </w:r>
    </w:p>
    <w:p w:rsidR="00F40164" w:rsidRPr="00F40164" w:rsidRDefault="00F40164" w:rsidP="00F40164">
      <w:pPr>
        <w:numPr>
          <w:ilvl w:val="0"/>
          <w:numId w:val="45"/>
        </w:numPr>
        <w:shd w:val="clear" w:color="auto" w:fill="FFFFFF"/>
        <w:spacing w:before="100" w:beforeAutospacing="1" w:after="100" w:afterAutospacing="1" w:line="285" w:lineRule="atLeast"/>
        <w:ind w:left="600"/>
        <w:rPr>
          <w:rFonts w:ascii="Trebuchet MS" w:eastAsia="Times New Roman" w:hAnsi="Trebuchet MS" w:cs="Times New Roman"/>
          <w:sz w:val="20"/>
          <w:szCs w:val="20"/>
        </w:rPr>
      </w:pPr>
      <w:bookmarkStart w:id="23" w:name="P129_26144"/>
      <w:bookmarkEnd w:id="23"/>
      <w:r w:rsidRPr="00F40164">
        <w:rPr>
          <w:rFonts w:ascii="Trebuchet MS" w:eastAsia="Times New Roman" w:hAnsi="Trebuchet MS" w:cs="Times New Roman"/>
          <w:sz w:val="20"/>
          <w:szCs w:val="20"/>
        </w:rPr>
        <w:t>The computer may become a barrier between the doctor and patient – as the doctor fills-in a computer template that diverts attention from the patient and restricts creative thinking. This may weaken the doctor-patient relationship.</w:t>
      </w:r>
    </w:p>
    <w:p w:rsidR="00F40164" w:rsidRPr="00F40164" w:rsidRDefault="00F40164" w:rsidP="00F40164">
      <w:pPr>
        <w:shd w:val="clear" w:color="auto" w:fill="FFFFFF"/>
        <w:spacing w:after="0" w:line="15" w:lineRule="atLeast"/>
        <w:rPr>
          <w:rFonts w:ascii="Trebuchet MS" w:eastAsia="Times New Roman" w:hAnsi="Trebuchet MS" w:cs="Times New Roman"/>
          <w:sz w:val="2"/>
          <w:szCs w:val="2"/>
        </w:rPr>
      </w:pPr>
      <w:r w:rsidRPr="00F40164">
        <w:rPr>
          <w:rFonts w:ascii="Trebuchet MS" w:eastAsia="Times New Roman" w:hAnsi="Trebuchet MS" w:cs="Times New Roman"/>
          <w:sz w:val="2"/>
          <w:szCs w:val="2"/>
        </w:rPr>
        <w:t> </w:t>
      </w:r>
    </w:p>
    <w:p w:rsidR="00F40164" w:rsidRPr="00F40164" w:rsidRDefault="00F40164" w:rsidP="00F40164">
      <w:pPr>
        <w:shd w:val="clear" w:color="auto" w:fill="FFFFFF"/>
        <w:spacing w:after="0" w:line="180" w:lineRule="atLeast"/>
        <w:rPr>
          <w:rFonts w:ascii="Trebuchet MS" w:eastAsia="Times New Roman" w:hAnsi="Trebuchet MS" w:cs="Times New Roman"/>
          <w:color w:val="626262"/>
          <w:sz w:val="15"/>
          <w:szCs w:val="15"/>
        </w:rPr>
      </w:pPr>
      <w:proofErr w:type="gramStart"/>
      <w:r w:rsidRPr="00F40164">
        <w:rPr>
          <w:rFonts w:ascii="Trebuchet MS" w:eastAsia="Times New Roman" w:hAnsi="Trebuchet MS" w:cs="Times New Roman"/>
          <w:color w:val="626262"/>
          <w:sz w:val="15"/>
          <w:szCs w:val="15"/>
        </w:rPr>
        <w:t xml:space="preserve">Reprinted with permission from the </w:t>
      </w:r>
      <w:proofErr w:type="spellStart"/>
      <w:r w:rsidRPr="00F40164">
        <w:rPr>
          <w:rFonts w:ascii="Trebuchet MS" w:eastAsia="Times New Roman" w:hAnsi="Trebuchet MS" w:cs="Times New Roman"/>
          <w:color w:val="626262"/>
          <w:sz w:val="15"/>
          <w:szCs w:val="15"/>
        </w:rPr>
        <w:t>iHealth</w:t>
      </w:r>
      <w:proofErr w:type="spellEnd"/>
      <w:r w:rsidRPr="00F40164">
        <w:rPr>
          <w:rFonts w:ascii="Trebuchet MS" w:eastAsia="Times New Roman" w:hAnsi="Trebuchet MS" w:cs="Times New Roman"/>
          <w:color w:val="626262"/>
          <w:sz w:val="15"/>
          <w:szCs w:val="15"/>
        </w:rPr>
        <w:t xml:space="preserve"> Alliance and PDR Network.</w:t>
      </w:r>
      <w:proofErr w:type="gramEnd"/>
      <w:r w:rsidRPr="00F40164">
        <w:rPr>
          <w:rFonts w:ascii="Trebuchet MS" w:eastAsia="Times New Roman" w:hAnsi="Trebuchet MS" w:cs="Times New Roman"/>
          <w:color w:val="626262"/>
          <w:sz w:val="15"/>
          <w:szCs w:val="15"/>
        </w:rPr>
        <w:br/>
      </w:r>
      <w:r w:rsidRPr="00F40164">
        <w:rPr>
          <w:rFonts w:ascii="Trebuchet MS" w:eastAsia="Times New Roman" w:hAnsi="Trebuchet MS" w:cs="Times New Roman"/>
          <w:color w:val="626262"/>
          <w:sz w:val="15"/>
          <w:szCs w:val="15"/>
        </w:rPr>
        <w:br/>
        <w:t xml:space="preserve">This document contains confidential and proprietary information of the </w:t>
      </w:r>
      <w:proofErr w:type="spellStart"/>
      <w:r w:rsidRPr="00F40164">
        <w:rPr>
          <w:rFonts w:ascii="Trebuchet MS" w:eastAsia="Times New Roman" w:hAnsi="Trebuchet MS" w:cs="Times New Roman"/>
          <w:color w:val="626262"/>
          <w:sz w:val="15"/>
          <w:szCs w:val="15"/>
        </w:rPr>
        <w:t>iHealth</w:t>
      </w:r>
      <w:proofErr w:type="spellEnd"/>
      <w:r w:rsidRPr="00F40164">
        <w:rPr>
          <w:rFonts w:ascii="Trebuchet MS" w:eastAsia="Times New Roman" w:hAnsi="Trebuchet MS" w:cs="Times New Roman"/>
          <w:color w:val="626262"/>
          <w:sz w:val="15"/>
          <w:szCs w:val="15"/>
        </w:rPr>
        <w:t xml:space="preserve"> Alliance and is protected by copyright, trade secret and other State and Federal laws. Receipt or possession of this document does not convey any rights to reproduce, disclose, manufacture, use, </w:t>
      </w:r>
      <w:proofErr w:type="gramStart"/>
      <w:r w:rsidRPr="00F40164">
        <w:rPr>
          <w:rFonts w:ascii="Trebuchet MS" w:eastAsia="Times New Roman" w:hAnsi="Trebuchet MS" w:cs="Times New Roman"/>
          <w:color w:val="626262"/>
          <w:sz w:val="15"/>
          <w:szCs w:val="15"/>
        </w:rPr>
        <w:t>offer</w:t>
      </w:r>
      <w:proofErr w:type="gramEnd"/>
      <w:r w:rsidRPr="00F40164">
        <w:rPr>
          <w:rFonts w:ascii="Trebuchet MS" w:eastAsia="Times New Roman" w:hAnsi="Trebuchet MS" w:cs="Times New Roman"/>
          <w:color w:val="626262"/>
          <w:sz w:val="15"/>
          <w:szCs w:val="15"/>
        </w:rPr>
        <w:t xml:space="preserve"> to sell or sell anything described herein.</w:t>
      </w:r>
    </w:p>
    <w:p w:rsidR="00D90255" w:rsidRDefault="00F40164" w:rsidP="00F40164">
      <w:r w:rsidRPr="00F40164">
        <w:rPr>
          <w:rFonts w:ascii="Trebuchet MS" w:eastAsia="Times New Roman" w:hAnsi="Trebuchet MS" w:cs="Times New Roman"/>
          <w:sz w:val="20"/>
          <w:szCs w:val="20"/>
        </w:rPr>
        <w:br/>
      </w:r>
    </w:p>
    <w:sectPr w:rsidR="00D90255" w:rsidSect="00D90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D29"/>
    <w:multiLevelType w:val="multilevel"/>
    <w:tmpl w:val="8E5A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1280F"/>
    <w:multiLevelType w:val="multilevel"/>
    <w:tmpl w:val="19B8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E5754"/>
    <w:multiLevelType w:val="multilevel"/>
    <w:tmpl w:val="F9561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B4E1A82"/>
    <w:multiLevelType w:val="multilevel"/>
    <w:tmpl w:val="0022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057A2"/>
    <w:multiLevelType w:val="multilevel"/>
    <w:tmpl w:val="72CA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8B2DF1"/>
    <w:multiLevelType w:val="multilevel"/>
    <w:tmpl w:val="6A0E3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A490FFF"/>
    <w:multiLevelType w:val="multilevel"/>
    <w:tmpl w:val="B4D0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31226C"/>
    <w:multiLevelType w:val="multilevel"/>
    <w:tmpl w:val="9A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3E1533"/>
    <w:multiLevelType w:val="multilevel"/>
    <w:tmpl w:val="F69ED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BE249D2"/>
    <w:multiLevelType w:val="multilevel"/>
    <w:tmpl w:val="999ED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4F63FDB"/>
    <w:multiLevelType w:val="multilevel"/>
    <w:tmpl w:val="EBEE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782104"/>
    <w:multiLevelType w:val="multilevel"/>
    <w:tmpl w:val="8486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8"/>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7"/>
    <w:lvlOverride w:ilvl="0">
      <w:startOverride w:val="5"/>
    </w:lvlOverride>
  </w:num>
  <w:num w:numId="7">
    <w:abstractNumId w:val="7"/>
    <w:lvlOverride w:ilvl="0">
      <w:startOverride w:val="6"/>
    </w:lvlOverride>
  </w:num>
  <w:num w:numId="8">
    <w:abstractNumId w:val="7"/>
    <w:lvlOverride w:ilvl="0">
      <w:startOverride w:val="7"/>
    </w:lvlOverride>
  </w:num>
  <w:num w:numId="9">
    <w:abstractNumId w:val="7"/>
    <w:lvlOverride w:ilvl="0">
      <w:startOverride w:val="8"/>
    </w:lvlOverride>
  </w:num>
  <w:num w:numId="10">
    <w:abstractNumId w:val="7"/>
    <w:lvlOverride w:ilvl="0">
      <w:startOverride w:val="9"/>
    </w:lvlOverride>
  </w:num>
  <w:num w:numId="11">
    <w:abstractNumId w:val="7"/>
    <w:lvlOverride w:ilvl="0">
      <w:startOverride w:val="10"/>
    </w:lvlOverride>
  </w:num>
  <w:num w:numId="12">
    <w:abstractNumId w:val="5"/>
  </w:num>
  <w:num w:numId="13">
    <w:abstractNumId w:val="0"/>
    <w:lvlOverride w:ilvl="0">
      <w:startOverride w:val="1"/>
    </w:lvlOverride>
  </w:num>
  <w:num w:numId="14">
    <w:abstractNumId w:val="0"/>
    <w:lvlOverride w:ilvl="0">
      <w:startOverride w:val="2"/>
    </w:lvlOverride>
  </w:num>
  <w:num w:numId="15">
    <w:abstractNumId w:val="0"/>
    <w:lvlOverride w:ilvl="0">
      <w:startOverride w:val="3"/>
    </w:lvlOverride>
  </w:num>
  <w:num w:numId="16">
    <w:abstractNumId w:val="0"/>
    <w:lvlOverride w:ilvl="0">
      <w:startOverride w:val="4"/>
    </w:lvlOverride>
  </w:num>
  <w:num w:numId="17">
    <w:abstractNumId w:val="0"/>
    <w:lvlOverride w:ilvl="0">
      <w:startOverride w:val="5"/>
    </w:lvlOverride>
  </w:num>
  <w:num w:numId="18">
    <w:abstractNumId w:val="0"/>
    <w:lvlOverride w:ilvl="0">
      <w:startOverride w:val="6"/>
    </w:lvlOverride>
  </w:num>
  <w:num w:numId="19">
    <w:abstractNumId w:val="0"/>
    <w:lvlOverride w:ilvl="0">
      <w:startOverride w:val="7"/>
    </w:lvlOverride>
  </w:num>
  <w:num w:numId="20">
    <w:abstractNumId w:val="11"/>
    <w:lvlOverride w:ilvl="0">
      <w:startOverride w:val="1"/>
    </w:lvlOverride>
  </w:num>
  <w:num w:numId="21">
    <w:abstractNumId w:val="11"/>
    <w:lvlOverride w:ilvl="0">
      <w:startOverride w:val="2"/>
    </w:lvlOverride>
  </w:num>
  <w:num w:numId="22">
    <w:abstractNumId w:val="11"/>
    <w:lvlOverride w:ilvl="0">
      <w:startOverride w:val="3"/>
    </w:lvlOverride>
  </w:num>
  <w:num w:numId="23">
    <w:abstractNumId w:val="6"/>
    <w:lvlOverride w:ilvl="0">
      <w:startOverride w:val="1"/>
    </w:lvlOverride>
  </w:num>
  <w:num w:numId="24">
    <w:abstractNumId w:val="6"/>
    <w:lvlOverride w:ilvl="0">
      <w:startOverride w:val="2"/>
    </w:lvlOverride>
  </w:num>
  <w:num w:numId="25">
    <w:abstractNumId w:val="6"/>
    <w:lvlOverride w:ilvl="0">
      <w:startOverride w:val="3"/>
    </w:lvlOverride>
  </w:num>
  <w:num w:numId="26">
    <w:abstractNumId w:val="6"/>
    <w:lvlOverride w:ilvl="0">
      <w:startOverride w:val="4"/>
    </w:lvlOverride>
  </w:num>
  <w:num w:numId="27">
    <w:abstractNumId w:val="6"/>
    <w:lvlOverride w:ilvl="0">
      <w:startOverride w:val="5"/>
    </w:lvlOverride>
  </w:num>
  <w:num w:numId="28">
    <w:abstractNumId w:val="6"/>
    <w:lvlOverride w:ilvl="0">
      <w:startOverride w:val="6"/>
    </w:lvlOverride>
  </w:num>
  <w:num w:numId="29">
    <w:abstractNumId w:val="6"/>
    <w:lvlOverride w:ilvl="0">
      <w:startOverride w:val="7"/>
    </w:lvlOverride>
  </w:num>
  <w:num w:numId="30">
    <w:abstractNumId w:val="6"/>
    <w:lvlOverride w:ilvl="0">
      <w:startOverride w:val="8"/>
    </w:lvlOverride>
  </w:num>
  <w:num w:numId="31">
    <w:abstractNumId w:val="6"/>
    <w:lvlOverride w:ilvl="0">
      <w:startOverride w:val="9"/>
    </w:lvlOverride>
  </w:num>
  <w:num w:numId="32">
    <w:abstractNumId w:val="6"/>
    <w:lvlOverride w:ilvl="0">
      <w:startOverride w:val="10"/>
    </w:lvlOverride>
  </w:num>
  <w:num w:numId="33">
    <w:abstractNumId w:val="6"/>
    <w:lvlOverride w:ilvl="0">
      <w:startOverride w:val="11"/>
    </w:lvlOverride>
  </w:num>
  <w:num w:numId="34">
    <w:abstractNumId w:val="1"/>
    <w:lvlOverride w:ilvl="0">
      <w:startOverride w:val="1"/>
    </w:lvlOverride>
  </w:num>
  <w:num w:numId="35">
    <w:abstractNumId w:val="1"/>
    <w:lvlOverride w:ilvl="0">
      <w:startOverride w:val="2"/>
    </w:lvlOverride>
  </w:num>
  <w:num w:numId="36">
    <w:abstractNumId w:val="2"/>
  </w:num>
  <w:num w:numId="37">
    <w:abstractNumId w:val="4"/>
    <w:lvlOverride w:ilvl="0">
      <w:startOverride w:val="3"/>
    </w:lvlOverride>
  </w:num>
  <w:num w:numId="38">
    <w:abstractNumId w:val="4"/>
    <w:lvlOverride w:ilvl="0">
      <w:startOverride w:val="4"/>
    </w:lvlOverride>
  </w:num>
  <w:num w:numId="39">
    <w:abstractNumId w:val="4"/>
    <w:lvlOverride w:ilvl="0">
      <w:startOverride w:val="5"/>
    </w:lvlOverride>
  </w:num>
  <w:num w:numId="40">
    <w:abstractNumId w:val="4"/>
    <w:lvlOverride w:ilvl="0">
      <w:startOverride w:val="6"/>
    </w:lvlOverride>
  </w:num>
  <w:num w:numId="41">
    <w:abstractNumId w:val="4"/>
    <w:lvlOverride w:ilvl="0">
      <w:startOverride w:val="7"/>
    </w:lvlOverride>
  </w:num>
  <w:num w:numId="42">
    <w:abstractNumId w:val="4"/>
    <w:lvlOverride w:ilvl="0">
      <w:startOverride w:val="8"/>
    </w:lvlOverride>
  </w:num>
  <w:num w:numId="43">
    <w:abstractNumId w:val="4"/>
    <w:lvlOverride w:ilvl="0">
      <w:startOverride w:val="9"/>
    </w:lvlOverride>
  </w:num>
  <w:num w:numId="44">
    <w:abstractNumId w:val="9"/>
  </w:num>
  <w:num w:numId="45">
    <w:abstractNumId w:val="1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164"/>
    <w:rsid w:val="006E195F"/>
    <w:rsid w:val="007E2512"/>
    <w:rsid w:val="00D90255"/>
    <w:rsid w:val="00E84C5E"/>
    <w:rsid w:val="00F4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164"/>
    <w:rPr>
      <w:strike w:val="0"/>
      <w:dstrike w:val="0"/>
      <w:color w:val="417DBE"/>
      <w:u w:val="none"/>
      <w:effect w:val="none"/>
    </w:rPr>
  </w:style>
  <w:style w:type="paragraph" w:styleId="NormalWeb">
    <w:name w:val="Normal (Web)"/>
    <w:basedOn w:val="Normal"/>
    <w:uiPriority w:val="99"/>
    <w:unhideWhenUsed/>
    <w:rsid w:val="00F40164"/>
    <w:pPr>
      <w:spacing w:after="0" w:line="240" w:lineRule="auto"/>
    </w:pPr>
    <w:rPr>
      <w:rFonts w:ascii="Times New Roman" w:eastAsia="Times New Roman" w:hAnsi="Times New Roman" w:cs="Times New Roman"/>
      <w:sz w:val="24"/>
      <w:szCs w:val="24"/>
    </w:rPr>
  </w:style>
  <w:style w:type="paragraph" w:customStyle="1" w:styleId="subtitle">
    <w:name w:val="subtitle"/>
    <w:basedOn w:val="Normal"/>
    <w:rsid w:val="00F40164"/>
    <w:pPr>
      <w:spacing w:after="0" w:line="345" w:lineRule="atLeast"/>
    </w:pPr>
    <w:rPr>
      <w:rFonts w:ascii="Georgia" w:eastAsia="Times New Roman" w:hAnsi="Georgia" w:cs="Times New Roman"/>
      <w:color w:val="000000"/>
      <w:sz w:val="27"/>
      <w:szCs w:val="27"/>
    </w:rPr>
  </w:style>
  <w:style w:type="paragraph" w:customStyle="1" w:styleId="separator2px">
    <w:name w:val="separator_2px"/>
    <w:basedOn w:val="Normal"/>
    <w:rsid w:val="00F40164"/>
    <w:pPr>
      <w:spacing w:after="0" w:line="15" w:lineRule="atLeast"/>
    </w:pPr>
    <w:rPr>
      <w:rFonts w:ascii="Times New Roman" w:eastAsia="Times New Roman" w:hAnsi="Times New Roman" w:cs="Times New Roman"/>
      <w:sz w:val="2"/>
      <w:szCs w:val="2"/>
    </w:rPr>
  </w:style>
  <w:style w:type="paragraph" w:customStyle="1" w:styleId="body-1">
    <w:name w:val="body-1"/>
    <w:basedOn w:val="Normal"/>
    <w:rsid w:val="00F4016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C5E"/>
    <w:pPr>
      <w:ind w:left="720"/>
      <w:contextualSpacing/>
    </w:pPr>
  </w:style>
</w:styles>
</file>

<file path=word/webSettings.xml><?xml version="1.0" encoding="utf-8"?>
<w:webSettings xmlns:r="http://schemas.openxmlformats.org/officeDocument/2006/relationships" xmlns:w="http://schemas.openxmlformats.org/wordprocessingml/2006/main">
  <w:divs>
    <w:div w:id="1995639671">
      <w:bodyDiv w:val="1"/>
      <w:marLeft w:val="600"/>
      <w:marRight w:val="600"/>
      <w:marTop w:val="240"/>
      <w:marBottom w:val="0"/>
      <w:divBdr>
        <w:top w:val="none" w:sz="0" w:space="0" w:color="auto"/>
        <w:left w:val="none" w:sz="0" w:space="0" w:color="auto"/>
        <w:bottom w:val="none" w:sz="0" w:space="0" w:color="auto"/>
        <w:right w:val="none" w:sz="0" w:space="0" w:color="auto"/>
      </w:divBdr>
      <w:divsChild>
        <w:div w:id="1881238752">
          <w:marLeft w:val="0"/>
          <w:marRight w:val="0"/>
          <w:marTop w:val="0"/>
          <w:marBottom w:val="0"/>
          <w:divBdr>
            <w:top w:val="single" w:sz="6" w:space="0" w:color="FFFFFF"/>
            <w:left w:val="none" w:sz="0" w:space="0" w:color="auto"/>
            <w:bottom w:val="none" w:sz="0" w:space="0" w:color="auto"/>
            <w:right w:val="none" w:sz="0" w:space="0" w:color="auto"/>
          </w:divBdr>
          <w:divsChild>
            <w:div w:id="1799835783">
              <w:marLeft w:val="0"/>
              <w:marRight w:val="0"/>
              <w:marTop w:val="0"/>
              <w:marBottom w:val="0"/>
              <w:divBdr>
                <w:top w:val="none" w:sz="0" w:space="0" w:color="auto"/>
                <w:left w:val="none" w:sz="0" w:space="0" w:color="auto"/>
                <w:bottom w:val="none" w:sz="0" w:space="0" w:color="auto"/>
                <w:right w:val="none" w:sz="0" w:space="0" w:color="auto"/>
              </w:divBdr>
              <w:divsChild>
                <w:div w:id="1094784503">
                  <w:marLeft w:val="360"/>
                  <w:marRight w:val="0"/>
                  <w:marTop w:val="0"/>
                  <w:marBottom w:val="0"/>
                  <w:divBdr>
                    <w:top w:val="none" w:sz="0" w:space="0" w:color="auto"/>
                    <w:left w:val="none" w:sz="0" w:space="0" w:color="auto"/>
                    <w:bottom w:val="none" w:sz="0" w:space="0" w:color="auto"/>
                    <w:right w:val="none" w:sz="0" w:space="0" w:color="auto"/>
                  </w:divBdr>
                </w:div>
                <w:div w:id="702559888">
                  <w:marLeft w:val="700"/>
                  <w:marRight w:val="0"/>
                  <w:marTop w:val="0"/>
                  <w:marBottom w:val="0"/>
                  <w:divBdr>
                    <w:top w:val="none" w:sz="0" w:space="0" w:color="auto"/>
                    <w:left w:val="none" w:sz="0" w:space="0" w:color="auto"/>
                    <w:bottom w:val="none" w:sz="0" w:space="0" w:color="auto"/>
                    <w:right w:val="none" w:sz="0" w:space="0" w:color="auto"/>
                  </w:divBdr>
                </w:div>
                <w:div w:id="1758670298">
                  <w:marLeft w:val="360"/>
                  <w:marRight w:val="0"/>
                  <w:marTop w:val="0"/>
                  <w:marBottom w:val="0"/>
                  <w:divBdr>
                    <w:top w:val="none" w:sz="0" w:space="0" w:color="auto"/>
                    <w:left w:val="none" w:sz="0" w:space="0" w:color="auto"/>
                    <w:bottom w:val="none" w:sz="0" w:space="0" w:color="auto"/>
                    <w:right w:val="none" w:sz="0" w:space="0" w:color="auto"/>
                  </w:divBdr>
                </w:div>
                <w:div w:id="118768757">
                  <w:marLeft w:val="360"/>
                  <w:marRight w:val="0"/>
                  <w:marTop w:val="0"/>
                  <w:marBottom w:val="0"/>
                  <w:divBdr>
                    <w:top w:val="none" w:sz="0" w:space="0" w:color="auto"/>
                    <w:left w:val="none" w:sz="0" w:space="0" w:color="auto"/>
                    <w:bottom w:val="none" w:sz="0" w:space="0" w:color="auto"/>
                    <w:right w:val="none" w:sz="0" w:space="0" w:color="auto"/>
                  </w:divBdr>
                </w:div>
                <w:div w:id="1648896561">
                  <w:marLeft w:val="720"/>
                  <w:marRight w:val="0"/>
                  <w:marTop w:val="0"/>
                  <w:marBottom w:val="0"/>
                  <w:divBdr>
                    <w:top w:val="none" w:sz="0" w:space="0" w:color="auto"/>
                    <w:left w:val="none" w:sz="0" w:space="0" w:color="auto"/>
                    <w:bottom w:val="none" w:sz="0" w:space="0" w:color="auto"/>
                    <w:right w:val="none" w:sz="0" w:space="0" w:color="auto"/>
                  </w:divBdr>
                </w:div>
                <w:div w:id="694497977">
                  <w:marLeft w:val="360"/>
                  <w:marRight w:val="0"/>
                  <w:marTop w:val="0"/>
                  <w:marBottom w:val="0"/>
                  <w:divBdr>
                    <w:top w:val="none" w:sz="0" w:space="0" w:color="auto"/>
                    <w:left w:val="none" w:sz="0" w:space="0" w:color="auto"/>
                    <w:bottom w:val="none" w:sz="0" w:space="0" w:color="auto"/>
                    <w:right w:val="none" w:sz="0" w:space="0" w:color="auto"/>
                  </w:divBdr>
                </w:div>
                <w:div w:id="2132049091">
                  <w:marLeft w:val="720"/>
                  <w:marRight w:val="0"/>
                  <w:marTop w:val="0"/>
                  <w:marBottom w:val="0"/>
                  <w:divBdr>
                    <w:top w:val="none" w:sz="0" w:space="0" w:color="auto"/>
                    <w:left w:val="none" w:sz="0" w:space="0" w:color="auto"/>
                    <w:bottom w:val="none" w:sz="0" w:space="0" w:color="auto"/>
                    <w:right w:val="none" w:sz="0" w:space="0" w:color="auto"/>
                  </w:divBdr>
                </w:div>
                <w:div w:id="15791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bp.net/programs/accreditation/vip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Weber</dc:creator>
  <cp:lastModifiedBy>Paul Weber</cp:lastModifiedBy>
  <cp:revision>2</cp:revision>
  <dcterms:created xsi:type="dcterms:W3CDTF">2012-12-14T17:29:00Z</dcterms:created>
  <dcterms:modified xsi:type="dcterms:W3CDTF">2012-12-14T18:19:00Z</dcterms:modified>
</cp:coreProperties>
</file>