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70" w:rsidRPr="00161EBF" w:rsidRDefault="009E0070" w:rsidP="003E651A">
      <w:pPr>
        <w:jc w:val="center"/>
        <w:rPr>
          <w:rFonts w:ascii="Garamond" w:hAnsi="Garamond"/>
          <w:b/>
          <w:bCs/>
          <w:szCs w:val="24"/>
        </w:rPr>
      </w:pPr>
      <w:r w:rsidRPr="00161EBF">
        <w:rPr>
          <w:rFonts w:ascii="Garamond" w:hAnsi="Garamond"/>
          <w:b/>
          <w:bCs/>
          <w:szCs w:val="24"/>
        </w:rPr>
        <w:t>OMIC</w:t>
      </w:r>
    </w:p>
    <w:p w:rsidR="009E0070" w:rsidRPr="00161EBF" w:rsidRDefault="009E0070" w:rsidP="003E651A">
      <w:pPr>
        <w:jc w:val="center"/>
        <w:rPr>
          <w:rFonts w:ascii="Garamond" w:hAnsi="Garamond"/>
          <w:b/>
          <w:bCs/>
          <w:szCs w:val="24"/>
        </w:rPr>
      </w:pPr>
      <w:r w:rsidRPr="00161EBF">
        <w:rPr>
          <w:rFonts w:ascii="Garamond" w:hAnsi="Garamond"/>
          <w:b/>
          <w:bCs/>
          <w:szCs w:val="24"/>
        </w:rPr>
        <w:t>S</w:t>
      </w:r>
      <w:r w:rsidR="00891EE0" w:rsidRPr="00161EBF">
        <w:rPr>
          <w:rFonts w:ascii="Garamond" w:hAnsi="Garamond"/>
          <w:b/>
          <w:bCs/>
          <w:szCs w:val="24"/>
        </w:rPr>
        <w:t>AMPLE BREACH NOTIFICATION POLICY</w:t>
      </w:r>
    </w:p>
    <w:p w:rsidR="009E0070" w:rsidRPr="00161EBF" w:rsidRDefault="009E0070" w:rsidP="00E80B3D">
      <w:pPr>
        <w:rPr>
          <w:rFonts w:ascii="Garamond" w:hAnsi="Garamond"/>
          <w:b/>
          <w:bCs/>
          <w:szCs w:val="24"/>
        </w:rPr>
      </w:pPr>
    </w:p>
    <w:p w:rsidR="009E0070" w:rsidRPr="00161EBF" w:rsidRDefault="009E0070" w:rsidP="00E80B3D">
      <w:pPr>
        <w:rPr>
          <w:rFonts w:ascii="Garamond" w:hAnsi="Garamond"/>
          <w:b/>
          <w:bCs/>
          <w:szCs w:val="24"/>
        </w:rPr>
      </w:pPr>
    </w:p>
    <w:p w:rsidR="009E0070" w:rsidRPr="00161EBF" w:rsidRDefault="009E0070" w:rsidP="00E80B3D">
      <w:pPr>
        <w:rPr>
          <w:rFonts w:ascii="Garamond" w:hAnsi="Garamond"/>
          <w:b/>
          <w:bCs/>
          <w:szCs w:val="24"/>
        </w:rPr>
      </w:pPr>
    </w:p>
    <w:p w:rsidR="009E0070" w:rsidRPr="00161EBF" w:rsidRDefault="009E0070" w:rsidP="00E80B3D">
      <w:pPr>
        <w:rPr>
          <w:rFonts w:ascii="Garamond" w:hAnsi="Garamond"/>
          <w:b/>
          <w:bCs/>
          <w:szCs w:val="24"/>
        </w:rPr>
      </w:pPr>
    </w:p>
    <w:p w:rsidR="009E0070" w:rsidRPr="00161EBF" w:rsidRDefault="009E0070" w:rsidP="00E80B3D">
      <w:pPr>
        <w:rPr>
          <w:rFonts w:ascii="Garamond" w:hAnsi="Garamond"/>
          <w:b/>
          <w:bCs/>
          <w:szCs w:val="24"/>
        </w:rPr>
      </w:pPr>
    </w:p>
    <w:p w:rsidR="009E0070" w:rsidRPr="00161EBF" w:rsidRDefault="009E0070" w:rsidP="00E80B3D">
      <w:pPr>
        <w:rPr>
          <w:rFonts w:ascii="Garamond" w:hAnsi="Garamond"/>
          <w:b/>
          <w:bCs/>
          <w:szCs w:val="24"/>
        </w:rPr>
      </w:pPr>
    </w:p>
    <w:p w:rsidR="009E0070" w:rsidRPr="00161EBF" w:rsidRDefault="009E0070" w:rsidP="00E80B3D">
      <w:pPr>
        <w:rPr>
          <w:rFonts w:ascii="Garamond" w:hAnsi="Garamond"/>
          <w:b/>
          <w:bCs/>
          <w:szCs w:val="24"/>
        </w:rPr>
      </w:pPr>
    </w:p>
    <w:p w:rsidR="009E0070" w:rsidRPr="00161EBF" w:rsidRDefault="009E0070" w:rsidP="00E80B3D">
      <w:pPr>
        <w:rPr>
          <w:rFonts w:ascii="Garamond" w:hAnsi="Garamond"/>
          <w:b/>
          <w:bCs/>
          <w:szCs w:val="24"/>
        </w:rPr>
      </w:pPr>
    </w:p>
    <w:p w:rsidR="009E0070" w:rsidRPr="00161EBF" w:rsidRDefault="009E0070" w:rsidP="00E80B3D">
      <w:pPr>
        <w:rPr>
          <w:rFonts w:ascii="Garamond" w:hAnsi="Garamond"/>
          <w:b/>
          <w:bCs/>
          <w:szCs w:val="24"/>
        </w:rPr>
      </w:pPr>
      <w:r w:rsidRPr="00161EBF">
        <w:rPr>
          <w:rFonts w:ascii="Garamond" w:hAnsi="Garamond"/>
          <w:b/>
          <w:bCs/>
          <w:szCs w:val="24"/>
        </w:rPr>
        <w:t xml:space="preserve">This document contains a sample Breach Notification </w:t>
      </w:r>
      <w:r w:rsidR="00891EE0" w:rsidRPr="00161EBF">
        <w:rPr>
          <w:rFonts w:ascii="Garamond" w:hAnsi="Garamond"/>
          <w:b/>
          <w:bCs/>
          <w:szCs w:val="24"/>
        </w:rPr>
        <w:t>Policy</w:t>
      </w:r>
      <w:r w:rsidRPr="00161EBF">
        <w:rPr>
          <w:rFonts w:ascii="Garamond" w:hAnsi="Garamond"/>
          <w:b/>
          <w:bCs/>
          <w:szCs w:val="24"/>
        </w:rPr>
        <w:t xml:space="preserve"> as required under the Health Insurance Portability and Accountability Act of 1996 (“HIPAA”) and its implementing rules and regulations, and the Health Information Technology for Economic and Clinical Health Act (“HITECH Act”) of the American Recovery and Reinvestment Act of 2009 (“ARRA”) and its implementing rules and regulations, each as may be amended from time to time, including those regulatory amendments of the Department of Health and Human Services published at 78 Fed. Reg. 5566 (Jan. 25, 2013) (“HIPAA Final Omnibus Rule”). </w:t>
      </w:r>
    </w:p>
    <w:p w:rsidR="009E0070" w:rsidRPr="00161EBF" w:rsidRDefault="009E0070" w:rsidP="00E80B3D">
      <w:pPr>
        <w:rPr>
          <w:rFonts w:ascii="Garamond" w:hAnsi="Garamond"/>
          <w:b/>
          <w:bCs/>
          <w:szCs w:val="24"/>
        </w:rPr>
      </w:pPr>
    </w:p>
    <w:p w:rsidR="009E0070" w:rsidRPr="00161EBF" w:rsidRDefault="009E0070" w:rsidP="00E80B3D">
      <w:pPr>
        <w:rPr>
          <w:rFonts w:ascii="Garamond" w:hAnsi="Garamond"/>
          <w:b/>
          <w:bCs/>
          <w:szCs w:val="24"/>
        </w:rPr>
      </w:pPr>
      <w:r w:rsidRPr="00161EBF">
        <w:rPr>
          <w:rFonts w:ascii="Garamond" w:hAnsi="Garamond"/>
          <w:b/>
          <w:bCs/>
          <w:szCs w:val="24"/>
        </w:rPr>
        <w:t xml:space="preserve">This sample is a starting point for ophthalmology practices that need to create or update their </w:t>
      </w:r>
      <w:r w:rsidR="003571C5" w:rsidRPr="00161EBF">
        <w:rPr>
          <w:rFonts w:ascii="Garamond" w:hAnsi="Garamond"/>
          <w:b/>
          <w:bCs/>
          <w:szCs w:val="24"/>
        </w:rPr>
        <w:t>breach notification letters to patients</w:t>
      </w:r>
      <w:r w:rsidRPr="00161EBF">
        <w:rPr>
          <w:rFonts w:ascii="Garamond" w:hAnsi="Garamond"/>
          <w:b/>
          <w:bCs/>
          <w:szCs w:val="24"/>
        </w:rPr>
        <w:t>. This document should be customized, as necessary, to your practice’s specific needs and circumstances. These materials do not constitute the provision of legal advice by OMIC and are not a substitute for legal or professional advice. This sample, as adapted, should be reviewed by appropriate legal counsel who is familiar with the privacy laws in the state(s) where you provide services.</w:t>
      </w:r>
    </w:p>
    <w:p w:rsidR="009E0070" w:rsidRPr="00161EBF" w:rsidRDefault="009E0070" w:rsidP="00E80B3D">
      <w:pPr>
        <w:rPr>
          <w:rFonts w:ascii="Garamond" w:hAnsi="Garamond"/>
          <w:b/>
          <w:bCs/>
          <w:szCs w:val="24"/>
        </w:rPr>
      </w:pPr>
    </w:p>
    <w:p w:rsidR="009E0070" w:rsidRPr="00161EBF" w:rsidRDefault="009E0070" w:rsidP="00E80B3D">
      <w:pPr>
        <w:tabs>
          <w:tab w:val="left" w:pos="-720"/>
          <w:tab w:val="left" w:pos="0"/>
          <w:tab w:val="left" w:pos="360"/>
        </w:tabs>
        <w:suppressAutoHyphens/>
        <w:rPr>
          <w:rFonts w:ascii="Garamond" w:hAnsi="Garamond"/>
          <w:b/>
          <w:i/>
          <w:szCs w:val="24"/>
        </w:rPr>
      </w:pPr>
    </w:p>
    <w:p w:rsidR="009E0070" w:rsidRPr="00161EBF" w:rsidRDefault="009E0070" w:rsidP="00E80B3D">
      <w:pPr>
        <w:rPr>
          <w:rFonts w:ascii="Garamond" w:hAnsi="Garamond"/>
          <w:b/>
          <w:bCs/>
          <w:szCs w:val="24"/>
        </w:rPr>
      </w:pPr>
    </w:p>
    <w:p w:rsidR="009E0070" w:rsidRPr="00161EBF" w:rsidRDefault="009E0070" w:rsidP="00E80B3D">
      <w:pPr>
        <w:rPr>
          <w:rFonts w:ascii="Garamond" w:hAnsi="Garamond"/>
          <w:b/>
          <w:bCs/>
          <w:szCs w:val="24"/>
        </w:rPr>
      </w:pPr>
    </w:p>
    <w:p w:rsidR="009E0070" w:rsidRPr="00161EBF" w:rsidRDefault="009E0070" w:rsidP="00E80B3D">
      <w:pPr>
        <w:rPr>
          <w:rFonts w:ascii="Garamond" w:hAnsi="Garamond"/>
          <w:b/>
          <w:bCs/>
          <w:szCs w:val="24"/>
        </w:rPr>
      </w:pPr>
    </w:p>
    <w:p w:rsidR="009E0070" w:rsidRPr="00161EBF" w:rsidRDefault="009E0070" w:rsidP="00E80B3D">
      <w:pPr>
        <w:rPr>
          <w:rFonts w:ascii="Garamond" w:hAnsi="Garamond"/>
          <w:szCs w:val="24"/>
        </w:rPr>
      </w:pPr>
    </w:p>
    <w:p w:rsidR="009E0070" w:rsidRPr="00161EBF" w:rsidRDefault="009E0070" w:rsidP="00E80B3D">
      <w:pPr>
        <w:rPr>
          <w:rFonts w:ascii="Garamond" w:hAnsi="Garamond"/>
          <w:szCs w:val="24"/>
        </w:rPr>
      </w:pPr>
    </w:p>
    <w:p w:rsidR="009E0070" w:rsidRPr="00161EBF" w:rsidRDefault="009E0070" w:rsidP="00E80B3D">
      <w:pPr>
        <w:rPr>
          <w:rFonts w:ascii="Garamond" w:hAnsi="Garamond"/>
          <w:szCs w:val="24"/>
        </w:rPr>
      </w:pPr>
    </w:p>
    <w:p w:rsidR="009E0070" w:rsidRPr="00161EBF" w:rsidRDefault="009E0070" w:rsidP="00E80B3D">
      <w:pPr>
        <w:rPr>
          <w:rFonts w:ascii="Garamond" w:hAnsi="Garamond"/>
          <w:szCs w:val="24"/>
        </w:rPr>
      </w:pPr>
    </w:p>
    <w:p w:rsidR="009E0070" w:rsidRPr="00161EBF" w:rsidRDefault="009E0070" w:rsidP="00E80B3D">
      <w:pPr>
        <w:rPr>
          <w:rFonts w:ascii="Garamond" w:hAnsi="Garamond"/>
          <w:szCs w:val="24"/>
        </w:rPr>
      </w:pPr>
    </w:p>
    <w:p w:rsidR="009E0070" w:rsidRPr="00161EBF" w:rsidRDefault="009E0070" w:rsidP="00E80B3D">
      <w:pPr>
        <w:rPr>
          <w:rFonts w:ascii="Garamond" w:hAnsi="Garamond"/>
          <w:szCs w:val="24"/>
        </w:rPr>
      </w:pPr>
    </w:p>
    <w:p w:rsidR="009E0070" w:rsidRPr="00161EBF" w:rsidRDefault="009E0070" w:rsidP="00E80B3D">
      <w:pPr>
        <w:rPr>
          <w:rFonts w:ascii="Garamond" w:hAnsi="Garamond"/>
          <w:szCs w:val="24"/>
        </w:rPr>
      </w:pPr>
    </w:p>
    <w:p w:rsidR="009E0070" w:rsidRPr="00161EBF" w:rsidRDefault="009E0070" w:rsidP="00E80B3D">
      <w:pPr>
        <w:rPr>
          <w:rFonts w:ascii="Garamond" w:hAnsi="Garamond"/>
          <w:szCs w:val="24"/>
        </w:rPr>
      </w:pPr>
    </w:p>
    <w:p w:rsidR="009E0070" w:rsidRPr="00161EBF" w:rsidRDefault="009E0070" w:rsidP="00E80B3D">
      <w:pPr>
        <w:rPr>
          <w:rFonts w:ascii="Garamond" w:hAnsi="Garamond"/>
          <w:szCs w:val="24"/>
        </w:rPr>
      </w:pPr>
    </w:p>
    <w:p w:rsidR="009E0070" w:rsidRPr="00161EBF" w:rsidRDefault="009E0070" w:rsidP="00E80B3D">
      <w:pPr>
        <w:rPr>
          <w:rFonts w:ascii="Garamond" w:hAnsi="Garamond"/>
          <w:szCs w:val="24"/>
        </w:rPr>
      </w:pPr>
    </w:p>
    <w:p w:rsidR="009E0070" w:rsidRPr="00161EBF" w:rsidRDefault="009E0070" w:rsidP="00E80B3D">
      <w:pPr>
        <w:rPr>
          <w:rFonts w:ascii="Garamond" w:hAnsi="Garamond"/>
          <w:szCs w:val="24"/>
        </w:rPr>
      </w:pPr>
    </w:p>
    <w:p w:rsidR="009E0070" w:rsidRPr="00161EBF" w:rsidRDefault="009E0070" w:rsidP="00E80B3D">
      <w:pPr>
        <w:rPr>
          <w:rFonts w:ascii="Garamond" w:hAnsi="Garamond"/>
          <w:szCs w:val="24"/>
        </w:rPr>
      </w:pPr>
    </w:p>
    <w:p w:rsidR="009E0070" w:rsidRPr="00161EBF" w:rsidRDefault="009E0070" w:rsidP="00E80B3D">
      <w:pPr>
        <w:rPr>
          <w:rFonts w:ascii="Garamond" w:hAnsi="Garamond"/>
          <w:szCs w:val="24"/>
        </w:rPr>
      </w:pPr>
    </w:p>
    <w:p w:rsidR="009E0070" w:rsidRPr="00161EBF" w:rsidRDefault="009E0070" w:rsidP="00E80B3D">
      <w:pPr>
        <w:rPr>
          <w:rFonts w:ascii="Garamond" w:hAnsi="Garamond"/>
          <w:sz w:val="20"/>
        </w:rPr>
      </w:pPr>
      <w:r w:rsidRPr="00161EBF">
        <w:rPr>
          <w:rFonts w:ascii="Garamond" w:hAnsi="Garamond"/>
          <w:sz w:val="20"/>
        </w:rPr>
        <w:t xml:space="preserve">This sample Breach Notification </w:t>
      </w:r>
      <w:r w:rsidR="00161EBF" w:rsidRPr="00161EBF">
        <w:rPr>
          <w:rFonts w:ascii="Garamond" w:hAnsi="Garamond"/>
          <w:sz w:val="20"/>
        </w:rPr>
        <w:t>Policy</w:t>
      </w:r>
      <w:r w:rsidR="003571C5" w:rsidRPr="00161EBF">
        <w:rPr>
          <w:rFonts w:ascii="Garamond" w:hAnsi="Garamond"/>
          <w:sz w:val="20"/>
        </w:rPr>
        <w:t xml:space="preserve"> </w:t>
      </w:r>
      <w:r w:rsidRPr="00161EBF">
        <w:rPr>
          <w:rFonts w:ascii="Garamond" w:hAnsi="Garamond"/>
          <w:sz w:val="20"/>
        </w:rPr>
        <w:t xml:space="preserve">is provided by OMIC to its </w:t>
      </w:r>
      <w:proofErr w:type="spellStart"/>
      <w:r w:rsidRPr="00161EBF">
        <w:rPr>
          <w:rFonts w:ascii="Garamond" w:hAnsi="Garamond"/>
          <w:sz w:val="20"/>
        </w:rPr>
        <w:t>insureds</w:t>
      </w:r>
      <w:proofErr w:type="spellEnd"/>
      <w:r w:rsidRPr="00161EBF">
        <w:rPr>
          <w:rFonts w:ascii="Garamond" w:hAnsi="Garamond"/>
          <w:sz w:val="20"/>
        </w:rPr>
        <w:t xml:space="preserve"> and other ophthalmic practices, who or which may customize the materials for their particular needs. This version was created by OMIC 9/2013.</w:t>
      </w:r>
    </w:p>
    <w:p w:rsidR="009E0070" w:rsidRPr="00161EBF" w:rsidRDefault="009E0070" w:rsidP="00E80B3D">
      <w:pPr>
        <w:overflowPunct/>
        <w:autoSpaceDE/>
        <w:autoSpaceDN/>
        <w:adjustRightInd/>
        <w:spacing w:after="200" w:line="276" w:lineRule="auto"/>
        <w:textAlignment w:val="auto"/>
        <w:rPr>
          <w:rFonts w:ascii="Garamond" w:hAnsi="Garamond"/>
          <w:szCs w:val="24"/>
        </w:rPr>
      </w:pPr>
      <w:r w:rsidRPr="00161EBF">
        <w:rPr>
          <w:rFonts w:ascii="Garamond" w:hAnsi="Garamond"/>
          <w:szCs w:val="24"/>
        </w:rPr>
        <w:br w:type="page"/>
      </w:r>
    </w:p>
    <w:p w:rsidR="009E0070" w:rsidRPr="00161EBF" w:rsidRDefault="00B0271B" w:rsidP="000B5B50">
      <w:pPr>
        <w:jc w:val="center"/>
        <w:rPr>
          <w:rFonts w:ascii="Garamond" w:hAnsi="Garamond"/>
          <w:b/>
          <w:bCs/>
          <w:szCs w:val="24"/>
        </w:rPr>
      </w:pPr>
      <w:r>
        <w:rPr>
          <w:rFonts w:ascii="Garamond" w:hAnsi="Garamond"/>
          <w:b/>
          <w:bCs/>
          <w:szCs w:val="24"/>
        </w:rPr>
        <w:lastRenderedPageBreak/>
        <w:t>[PRACTICE NAME’S]</w:t>
      </w:r>
      <w:r w:rsidR="009E0070" w:rsidRPr="00161EBF">
        <w:rPr>
          <w:rFonts w:ascii="Garamond" w:hAnsi="Garamond"/>
          <w:b/>
          <w:bCs/>
          <w:szCs w:val="24"/>
        </w:rPr>
        <w:t xml:space="preserve"> BREACH NOTIFICATION </w:t>
      </w:r>
      <w:r w:rsidR="00161EBF" w:rsidRPr="00161EBF">
        <w:rPr>
          <w:rFonts w:ascii="Garamond" w:hAnsi="Garamond"/>
          <w:b/>
          <w:bCs/>
          <w:szCs w:val="24"/>
        </w:rPr>
        <w:t>POLICY</w:t>
      </w:r>
    </w:p>
    <w:p w:rsidR="00161EBF" w:rsidRDefault="00161EBF" w:rsidP="00E80B3D">
      <w:pPr>
        <w:rPr>
          <w:rFonts w:ascii="Garamond" w:hAnsi="Garamond"/>
          <w:b/>
          <w:szCs w:val="24"/>
        </w:rPr>
      </w:pPr>
    </w:p>
    <w:p w:rsidR="00161EBF" w:rsidRPr="0017516F" w:rsidRDefault="0017516F" w:rsidP="0017516F">
      <w:pPr>
        <w:rPr>
          <w:rFonts w:ascii="Garamond" w:hAnsi="Garamond"/>
          <w:b/>
          <w:szCs w:val="24"/>
        </w:rPr>
      </w:pPr>
      <w:r w:rsidRPr="0017516F">
        <w:rPr>
          <w:rFonts w:ascii="Garamond" w:hAnsi="Garamond"/>
          <w:b/>
          <w:szCs w:val="24"/>
          <w:u w:val="single"/>
        </w:rPr>
        <w:t>1.</w:t>
      </w:r>
      <w:r>
        <w:rPr>
          <w:rFonts w:ascii="Garamond" w:hAnsi="Garamond"/>
          <w:b/>
          <w:szCs w:val="24"/>
          <w:u w:val="single"/>
        </w:rPr>
        <w:t xml:space="preserve"> </w:t>
      </w:r>
      <w:r w:rsidR="000B5B50" w:rsidRPr="0017516F">
        <w:rPr>
          <w:rFonts w:ascii="Garamond" w:hAnsi="Garamond"/>
          <w:b/>
          <w:szCs w:val="24"/>
          <w:u w:val="single"/>
        </w:rPr>
        <w:t>PURPOSE</w:t>
      </w:r>
    </w:p>
    <w:p w:rsidR="00161EBF" w:rsidRPr="00161EBF" w:rsidRDefault="00161EBF" w:rsidP="00E80B3D">
      <w:pPr>
        <w:rPr>
          <w:rFonts w:ascii="Garamond" w:hAnsi="Garamond"/>
          <w:b/>
          <w:szCs w:val="24"/>
        </w:rPr>
      </w:pPr>
    </w:p>
    <w:p w:rsidR="00161EBF" w:rsidRPr="00E80B3D" w:rsidRDefault="00826CEA" w:rsidP="00E80B3D">
      <w:pPr>
        <w:rPr>
          <w:rFonts w:ascii="Garamond" w:hAnsi="Garamond"/>
          <w:szCs w:val="24"/>
        </w:rPr>
      </w:pPr>
      <w:r>
        <w:rPr>
          <w:rFonts w:ascii="Garamond" w:hAnsi="Garamond"/>
          <w:szCs w:val="24"/>
        </w:rPr>
        <w:t>The purpose of this Breach Notification Policy is t</w:t>
      </w:r>
      <w:r w:rsidR="00CA053A">
        <w:rPr>
          <w:rFonts w:ascii="Garamond" w:hAnsi="Garamond"/>
          <w:szCs w:val="24"/>
        </w:rPr>
        <w:t>o provide guidance to the s</w:t>
      </w:r>
      <w:r w:rsidR="00161EBF" w:rsidRPr="00161EBF">
        <w:rPr>
          <w:rFonts w:ascii="Garamond" w:hAnsi="Garamond"/>
          <w:szCs w:val="24"/>
        </w:rPr>
        <w:t xml:space="preserve">taff </w:t>
      </w:r>
      <w:r w:rsidR="000803E8">
        <w:rPr>
          <w:rFonts w:ascii="Garamond" w:hAnsi="Garamond"/>
          <w:szCs w:val="24"/>
        </w:rPr>
        <w:t>of [P</w:t>
      </w:r>
      <w:r w:rsidR="00CA053A">
        <w:rPr>
          <w:rFonts w:ascii="Garamond" w:hAnsi="Garamond"/>
          <w:szCs w:val="24"/>
        </w:rPr>
        <w:t xml:space="preserve">ractice name] “the Practice” </w:t>
      </w:r>
      <w:r w:rsidR="00161EBF" w:rsidRPr="00161EBF">
        <w:rPr>
          <w:rFonts w:ascii="Garamond" w:hAnsi="Garamond"/>
          <w:szCs w:val="24"/>
        </w:rPr>
        <w:t>when there is a</w:t>
      </w:r>
      <w:r w:rsidR="000F4601">
        <w:rPr>
          <w:rFonts w:ascii="Garamond" w:hAnsi="Garamond"/>
          <w:szCs w:val="24"/>
        </w:rPr>
        <w:t xml:space="preserve"> breach a</w:t>
      </w:r>
      <w:r w:rsidR="00161EBF" w:rsidRPr="00161EBF">
        <w:rPr>
          <w:rFonts w:ascii="Garamond" w:hAnsi="Garamond"/>
          <w:szCs w:val="24"/>
        </w:rPr>
        <w:t>n acquisition, access, use, or d</w:t>
      </w:r>
      <w:r>
        <w:rPr>
          <w:rFonts w:ascii="Garamond" w:hAnsi="Garamond"/>
          <w:szCs w:val="24"/>
        </w:rPr>
        <w:t xml:space="preserve">isclosure of </w:t>
      </w:r>
      <w:r w:rsidR="000F4601">
        <w:rPr>
          <w:rFonts w:ascii="Garamond" w:hAnsi="Garamond"/>
          <w:szCs w:val="24"/>
        </w:rPr>
        <w:t xml:space="preserve">the Practice’s patients’ </w:t>
      </w:r>
      <w:r w:rsidR="00675ECB">
        <w:rPr>
          <w:rFonts w:ascii="Garamond" w:hAnsi="Garamond"/>
          <w:szCs w:val="24"/>
        </w:rPr>
        <w:t xml:space="preserve">unsecured </w:t>
      </w:r>
      <w:r>
        <w:rPr>
          <w:rFonts w:ascii="Garamond" w:hAnsi="Garamond"/>
          <w:szCs w:val="24"/>
        </w:rPr>
        <w:t>protected health i</w:t>
      </w:r>
      <w:r w:rsidR="00161EBF" w:rsidRPr="00161EBF">
        <w:rPr>
          <w:rFonts w:ascii="Garamond" w:hAnsi="Garamond"/>
          <w:szCs w:val="24"/>
        </w:rPr>
        <w:t>nformation</w:t>
      </w:r>
      <w:r w:rsidR="00161EBF">
        <w:rPr>
          <w:rFonts w:ascii="Garamond" w:hAnsi="Garamond"/>
          <w:szCs w:val="24"/>
        </w:rPr>
        <w:t xml:space="preserve"> </w:t>
      </w:r>
      <w:r w:rsidR="00161EBF" w:rsidRPr="00161EBF">
        <w:rPr>
          <w:rFonts w:ascii="Garamond" w:hAnsi="Garamond"/>
          <w:szCs w:val="24"/>
        </w:rPr>
        <w:t xml:space="preserve">in a manner not permitted under </w:t>
      </w:r>
      <w:r>
        <w:rPr>
          <w:rFonts w:ascii="Garamond" w:hAnsi="Garamond"/>
          <w:szCs w:val="24"/>
        </w:rPr>
        <w:t xml:space="preserve">the </w:t>
      </w:r>
      <w:r w:rsidR="00E80B3D" w:rsidRPr="00E80B3D">
        <w:rPr>
          <w:rFonts w:ascii="Garamond" w:hAnsi="Garamond"/>
          <w:bCs/>
          <w:szCs w:val="24"/>
        </w:rPr>
        <w:t>Health Insurance Portability and Accountability Act of 1996 and its implementing rules and regulations</w:t>
      </w:r>
      <w:r w:rsidR="00E80B3D">
        <w:rPr>
          <w:rFonts w:ascii="Garamond" w:hAnsi="Garamond"/>
          <w:bCs/>
          <w:szCs w:val="24"/>
        </w:rPr>
        <w:t>,</w:t>
      </w:r>
      <w:r w:rsidR="00E80B3D" w:rsidRPr="00161EBF">
        <w:rPr>
          <w:rFonts w:ascii="Garamond" w:hAnsi="Garamond"/>
          <w:szCs w:val="24"/>
        </w:rPr>
        <w:t xml:space="preserve"> </w:t>
      </w:r>
      <w:r w:rsidR="00161EBF" w:rsidRPr="00161EBF">
        <w:rPr>
          <w:rFonts w:ascii="Garamond" w:hAnsi="Garamond"/>
          <w:szCs w:val="24"/>
        </w:rPr>
        <w:t xml:space="preserve">which compromises the security or privacy of the </w:t>
      </w:r>
      <w:r w:rsidR="00E80B3D">
        <w:rPr>
          <w:rFonts w:ascii="Garamond" w:hAnsi="Garamond"/>
          <w:szCs w:val="24"/>
        </w:rPr>
        <w:t>Protected Health Information</w:t>
      </w:r>
      <w:r w:rsidR="00161EBF" w:rsidRPr="00161EBF">
        <w:rPr>
          <w:rFonts w:ascii="Garamond" w:hAnsi="Garamond"/>
          <w:szCs w:val="24"/>
        </w:rPr>
        <w:t>.</w:t>
      </w:r>
      <w:r w:rsidR="00161EBF">
        <w:rPr>
          <w:rFonts w:ascii="Garamond" w:hAnsi="Garamond"/>
          <w:szCs w:val="24"/>
        </w:rPr>
        <w:t xml:space="preserve"> </w:t>
      </w:r>
      <w:r w:rsidR="000803E8">
        <w:rPr>
          <w:rFonts w:ascii="Garamond" w:hAnsi="Garamond"/>
          <w:szCs w:val="24"/>
        </w:rPr>
        <w:t xml:space="preserve">HIPAA requires that [Practice name] notify individuals whose unsecured PHI has </w:t>
      </w:r>
      <w:r w:rsidR="000F4601">
        <w:rPr>
          <w:rFonts w:ascii="Garamond" w:hAnsi="Garamond"/>
          <w:szCs w:val="24"/>
        </w:rPr>
        <w:t>been compromised by such a breach</w:t>
      </w:r>
      <w:r w:rsidR="000803E8">
        <w:rPr>
          <w:rFonts w:ascii="Garamond" w:hAnsi="Garamond"/>
          <w:szCs w:val="24"/>
        </w:rPr>
        <w:t xml:space="preserve">. In certain circumstances, </w:t>
      </w:r>
      <w:r w:rsidR="00DD1B5A">
        <w:rPr>
          <w:rFonts w:ascii="Garamond" w:hAnsi="Garamond"/>
          <w:szCs w:val="24"/>
        </w:rPr>
        <w:t>the Practice</w:t>
      </w:r>
      <w:r w:rsidR="000803E8">
        <w:rPr>
          <w:rFonts w:ascii="Garamond" w:hAnsi="Garamond"/>
          <w:szCs w:val="24"/>
        </w:rPr>
        <w:t xml:space="preserve"> must also report such breaches to the Secretary of HHS and through the media. [Practice Name’s] b</w:t>
      </w:r>
      <w:r w:rsidR="00161EBF" w:rsidRPr="00161EBF">
        <w:rPr>
          <w:rFonts w:ascii="Garamond" w:hAnsi="Garamond"/>
          <w:szCs w:val="24"/>
        </w:rPr>
        <w:t xml:space="preserve">reach notification </w:t>
      </w:r>
      <w:r w:rsidR="000F4601">
        <w:rPr>
          <w:rFonts w:ascii="Garamond" w:hAnsi="Garamond"/>
          <w:szCs w:val="24"/>
        </w:rPr>
        <w:t xml:space="preserve">process </w:t>
      </w:r>
      <w:r w:rsidR="00161EBF" w:rsidRPr="00161EBF">
        <w:rPr>
          <w:rFonts w:ascii="Garamond" w:hAnsi="Garamond"/>
          <w:szCs w:val="24"/>
        </w:rPr>
        <w:t xml:space="preserve">will be carried out in compliance </w:t>
      </w:r>
      <w:r w:rsidR="00161EBF" w:rsidRPr="00E80B3D">
        <w:rPr>
          <w:rFonts w:ascii="Garamond" w:hAnsi="Garamond"/>
          <w:szCs w:val="24"/>
        </w:rPr>
        <w:t xml:space="preserve">with </w:t>
      </w:r>
      <w:r w:rsidR="00E80B3D" w:rsidRPr="00E80B3D">
        <w:rPr>
          <w:rFonts w:ascii="Garamond" w:hAnsi="Garamond"/>
          <w:szCs w:val="24"/>
        </w:rPr>
        <w:t>the</w:t>
      </w:r>
      <w:r w:rsidR="00E80B3D">
        <w:rPr>
          <w:rFonts w:ascii="Garamond" w:hAnsi="Garamond"/>
          <w:bCs/>
          <w:szCs w:val="24"/>
        </w:rPr>
        <w:t xml:space="preserve"> </w:t>
      </w:r>
      <w:r w:rsidR="00E80B3D" w:rsidRPr="00E80B3D">
        <w:rPr>
          <w:rFonts w:ascii="Garamond" w:hAnsi="Garamond"/>
          <w:bCs/>
          <w:szCs w:val="24"/>
        </w:rPr>
        <w:t>Health Information Technology for Economic and Clinical Health Act of the American Recovery and Reinvestment Act of 2009 and its implementing rules and regulations, each as may be amended from time to time, including those regulatory amendments of the Department of Health and Human Services published at 78 Fed. Reg. 5566 (Jan. 25, 2013)</w:t>
      </w:r>
      <w:r w:rsidR="00E80B3D">
        <w:rPr>
          <w:rFonts w:ascii="Garamond" w:hAnsi="Garamond"/>
          <w:bCs/>
          <w:szCs w:val="24"/>
        </w:rPr>
        <w:t>,</w:t>
      </w:r>
      <w:r w:rsidR="00E80B3D" w:rsidRPr="00E80B3D">
        <w:rPr>
          <w:rFonts w:ascii="Garamond" w:hAnsi="Garamond"/>
          <w:bCs/>
          <w:szCs w:val="24"/>
        </w:rPr>
        <w:t xml:space="preserve"> </w:t>
      </w:r>
      <w:r w:rsidR="00E80B3D">
        <w:rPr>
          <w:rFonts w:ascii="Garamond" w:hAnsi="Garamond"/>
          <w:bCs/>
          <w:szCs w:val="24"/>
        </w:rPr>
        <w:t>collectively “HIPAA.”</w:t>
      </w:r>
    </w:p>
    <w:p w:rsidR="00161EBF" w:rsidRPr="00161EBF" w:rsidRDefault="00161EBF" w:rsidP="00E80B3D">
      <w:pPr>
        <w:rPr>
          <w:rFonts w:ascii="Garamond" w:hAnsi="Garamond"/>
          <w:b/>
          <w:szCs w:val="24"/>
        </w:rPr>
      </w:pPr>
    </w:p>
    <w:p w:rsidR="00E80B3D" w:rsidRPr="00161EBF" w:rsidRDefault="0017516F" w:rsidP="00E80B3D">
      <w:pPr>
        <w:rPr>
          <w:rFonts w:ascii="Garamond" w:hAnsi="Garamond"/>
          <w:szCs w:val="24"/>
        </w:rPr>
      </w:pPr>
      <w:r>
        <w:rPr>
          <w:rFonts w:ascii="Garamond" w:hAnsi="Garamond"/>
          <w:b/>
          <w:szCs w:val="24"/>
          <w:u w:val="single"/>
        </w:rPr>
        <w:t xml:space="preserve">2. </w:t>
      </w:r>
      <w:r w:rsidR="000B5B50">
        <w:rPr>
          <w:rFonts w:ascii="Garamond" w:hAnsi="Garamond"/>
          <w:b/>
          <w:szCs w:val="24"/>
          <w:u w:val="single"/>
        </w:rPr>
        <w:t>DEFINITIONS</w:t>
      </w:r>
    </w:p>
    <w:p w:rsidR="00E80B3D" w:rsidRPr="00161EBF" w:rsidRDefault="00E80B3D" w:rsidP="00E80B3D">
      <w:pPr>
        <w:rPr>
          <w:rFonts w:ascii="Garamond" w:hAnsi="Garamond"/>
          <w:szCs w:val="24"/>
        </w:rPr>
      </w:pPr>
    </w:p>
    <w:p w:rsidR="00E80B3D" w:rsidRDefault="00826CEA" w:rsidP="00602629">
      <w:pPr>
        <w:rPr>
          <w:rFonts w:ascii="Garamond" w:hAnsi="Garamond"/>
          <w:szCs w:val="24"/>
        </w:rPr>
      </w:pPr>
      <w:r w:rsidRPr="00826CEA">
        <w:rPr>
          <w:rFonts w:ascii="Garamond" w:hAnsi="Garamond"/>
          <w:b/>
          <w:szCs w:val="24"/>
        </w:rPr>
        <w:t>2.1</w:t>
      </w:r>
      <w:r w:rsidRPr="00826CEA">
        <w:rPr>
          <w:rFonts w:ascii="Garamond" w:hAnsi="Garamond"/>
          <w:b/>
          <w:szCs w:val="24"/>
        </w:rPr>
        <w:tab/>
      </w:r>
      <w:r w:rsidR="00E80B3D" w:rsidRPr="00551F7B">
        <w:rPr>
          <w:rFonts w:ascii="Garamond" w:hAnsi="Garamond"/>
          <w:b/>
          <w:szCs w:val="24"/>
          <w:u w:val="single"/>
        </w:rPr>
        <w:t>Breach</w:t>
      </w:r>
      <w:r w:rsidR="000B5B50" w:rsidRPr="00551F7B">
        <w:rPr>
          <w:rFonts w:ascii="Garamond" w:hAnsi="Garamond"/>
          <w:szCs w:val="24"/>
        </w:rPr>
        <w:t>. Breach means</w:t>
      </w:r>
      <w:r w:rsidR="00E80B3D" w:rsidRPr="00551F7B">
        <w:rPr>
          <w:rFonts w:ascii="Garamond" w:hAnsi="Garamond"/>
          <w:szCs w:val="24"/>
        </w:rPr>
        <w:t xml:space="preserve"> the acquisition, access, use, or disclosure of Protected Health Information </w:t>
      </w:r>
      <w:r w:rsidR="000F485C" w:rsidRPr="00551F7B">
        <w:rPr>
          <w:rFonts w:ascii="Garamond" w:hAnsi="Garamond"/>
          <w:szCs w:val="24"/>
        </w:rPr>
        <w:t xml:space="preserve">in a manner not permitted under </w:t>
      </w:r>
      <w:r>
        <w:rPr>
          <w:rFonts w:ascii="Garamond" w:hAnsi="Garamond"/>
          <w:szCs w:val="24"/>
        </w:rPr>
        <w:t>HIPAA</w:t>
      </w:r>
      <w:r w:rsidR="00E80B3D" w:rsidRPr="00551F7B">
        <w:rPr>
          <w:rFonts w:ascii="Garamond" w:hAnsi="Garamond"/>
          <w:szCs w:val="24"/>
        </w:rPr>
        <w:t xml:space="preserve">, which compromises </w:t>
      </w:r>
      <w:r>
        <w:rPr>
          <w:rFonts w:ascii="Garamond" w:hAnsi="Garamond"/>
          <w:szCs w:val="24"/>
        </w:rPr>
        <w:t>the security or privacy of the protected health i</w:t>
      </w:r>
      <w:r w:rsidR="00E80B3D" w:rsidRPr="00551F7B">
        <w:rPr>
          <w:rFonts w:ascii="Garamond" w:hAnsi="Garamond"/>
          <w:szCs w:val="24"/>
        </w:rPr>
        <w:t>nformation.</w:t>
      </w:r>
      <w:r>
        <w:rPr>
          <w:rFonts w:ascii="Garamond" w:hAnsi="Garamond"/>
          <w:szCs w:val="24"/>
        </w:rPr>
        <w:t xml:space="preserve"> </w:t>
      </w:r>
      <w:r w:rsidR="00E80B3D" w:rsidRPr="00551F7B">
        <w:rPr>
          <w:rFonts w:ascii="Garamond" w:hAnsi="Garamond"/>
          <w:szCs w:val="24"/>
        </w:rPr>
        <w:t>Breach excludes:</w:t>
      </w:r>
    </w:p>
    <w:p w:rsidR="00826CEA" w:rsidRPr="00551F7B" w:rsidRDefault="00826CEA" w:rsidP="00826CEA">
      <w:pPr>
        <w:ind w:left="1440" w:hanging="720"/>
        <w:rPr>
          <w:rFonts w:ascii="Garamond" w:hAnsi="Garamond"/>
          <w:szCs w:val="24"/>
        </w:rPr>
      </w:pPr>
    </w:p>
    <w:p w:rsidR="00E80B3D" w:rsidRPr="00551F7B" w:rsidRDefault="00E80B3D" w:rsidP="00602629">
      <w:pPr>
        <w:pStyle w:val="EndnoteText"/>
        <w:numPr>
          <w:ilvl w:val="2"/>
          <w:numId w:val="20"/>
        </w:numPr>
        <w:tabs>
          <w:tab w:val="left" w:pos="1440"/>
          <w:tab w:val="center" w:pos="4680"/>
        </w:tabs>
        <w:suppressAutoHyphens/>
        <w:ind w:left="720" w:firstLine="0"/>
        <w:rPr>
          <w:rFonts w:ascii="Garamond" w:hAnsi="Garamond"/>
          <w:szCs w:val="24"/>
        </w:rPr>
      </w:pPr>
      <w:r w:rsidRPr="00551F7B">
        <w:rPr>
          <w:rFonts w:ascii="Garamond" w:hAnsi="Garamond"/>
          <w:szCs w:val="24"/>
        </w:rPr>
        <w:t>Any unintentional acquisition, access</w:t>
      </w:r>
      <w:r w:rsidR="00826CEA">
        <w:rPr>
          <w:rFonts w:ascii="Garamond" w:hAnsi="Garamond"/>
          <w:szCs w:val="24"/>
        </w:rPr>
        <w:t>,</w:t>
      </w:r>
      <w:r w:rsidRPr="00551F7B">
        <w:rPr>
          <w:rFonts w:ascii="Garamond" w:hAnsi="Garamond"/>
          <w:szCs w:val="24"/>
        </w:rPr>
        <w:t xml:space="preserve"> or use of </w:t>
      </w:r>
      <w:r w:rsidR="00826CEA">
        <w:rPr>
          <w:rFonts w:ascii="Garamond" w:hAnsi="Garamond"/>
          <w:szCs w:val="24"/>
        </w:rPr>
        <w:t>protected health information</w:t>
      </w:r>
      <w:r w:rsidRPr="00551F7B">
        <w:rPr>
          <w:rFonts w:ascii="Garamond" w:hAnsi="Garamond"/>
          <w:szCs w:val="24"/>
        </w:rPr>
        <w:t xml:space="preserve"> by a workforce member or person a</w:t>
      </w:r>
      <w:r w:rsidR="00826CEA">
        <w:rPr>
          <w:rFonts w:ascii="Garamond" w:hAnsi="Garamond"/>
          <w:szCs w:val="24"/>
        </w:rPr>
        <w:t>cting under the authority of a c</w:t>
      </w:r>
      <w:r w:rsidRPr="00551F7B">
        <w:rPr>
          <w:rFonts w:ascii="Garamond" w:hAnsi="Garamond"/>
          <w:szCs w:val="24"/>
        </w:rPr>
        <w:t xml:space="preserve">overed </w:t>
      </w:r>
      <w:r w:rsidR="00826CEA">
        <w:rPr>
          <w:rFonts w:ascii="Garamond" w:hAnsi="Garamond"/>
          <w:szCs w:val="24"/>
        </w:rPr>
        <w:t>entity  or business a</w:t>
      </w:r>
      <w:r w:rsidRPr="00551F7B">
        <w:rPr>
          <w:rFonts w:ascii="Garamond" w:hAnsi="Garamond"/>
          <w:szCs w:val="24"/>
        </w:rPr>
        <w:t xml:space="preserve">ssociate if such acquisition, access, or use was made in good faith and within the scope of authority and does not result in further use or disclosure in a manner not permitted under </w:t>
      </w:r>
      <w:r w:rsidR="00826CEA">
        <w:rPr>
          <w:rFonts w:ascii="Garamond" w:hAnsi="Garamond"/>
          <w:szCs w:val="24"/>
        </w:rPr>
        <w:t>HIPAA</w:t>
      </w:r>
      <w:r w:rsidRPr="00551F7B">
        <w:rPr>
          <w:rFonts w:ascii="Garamond" w:hAnsi="Garamond"/>
          <w:szCs w:val="24"/>
        </w:rPr>
        <w:t>.</w:t>
      </w:r>
    </w:p>
    <w:p w:rsidR="00E80B3D" w:rsidRPr="00551F7B" w:rsidRDefault="00E80B3D" w:rsidP="00602629">
      <w:pPr>
        <w:pStyle w:val="EndnoteText"/>
        <w:numPr>
          <w:ilvl w:val="2"/>
          <w:numId w:val="20"/>
        </w:numPr>
        <w:tabs>
          <w:tab w:val="left" w:pos="1440"/>
          <w:tab w:val="center" w:pos="4680"/>
        </w:tabs>
        <w:suppressAutoHyphens/>
        <w:ind w:left="720" w:firstLine="0"/>
        <w:rPr>
          <w:rFonts w:ascii="Garamond" w:hAnsi="Garamond"/>
          <w:szCs w:val="24"/>
        </w:rPr>
      </w:pPr>
      <w:r w:rsidRPr="00551F7B">
        <w:rPr>
          <w:rFonts w:ascii="Garamond" w:hAnsi="Garamond"/>
          <w:szCs w:val="24"/>
        </w:rPr>
        <w:t xml:space="preserve">Any inadvertent disclosure by a person who is authorized to access </w:t>
      </w:r>
      <w:r w:rsidR="00826CEA">
        <w:rPr>
          <w:rFonts w:ascii="Garamond" w:hAnsi="Garamond"/>
          <w:szCs w:val="24"/>
        </w:rPr>
        <w:t>protection health information</w:t>
      </w:r>
      <w:r w:rsidRPr="00551F7B">
        <w:rPr>
          <w:rFonts w:ascii="Garamond" w:hAnsi="Garamond"/>
          <w:szCs w:val="24"/>
        </w:rPr>
        <w:t xml:space="preserve"> at a </w:t>
      </w:r>
      <w:r w:rsidR="00826CEA">
        <w:rPr>
          <w:rFonts w:ascii="Garamond" w:hAnsi="Garamond"/>
          <w:szCs w:val="24"/>
        </w:rPr>
        <w:t>covered entity</w:t>
      </w:r>
      <w:r w:rsidRPr="00551F7B">
        <w:rPr>
          <w:rFonts w:ascii="Garamond" w:hAnsi="Garamond"/>
          <w:szCs w:val="24"/>
        </w:rPr>
        <w:t xml:space="preserve"> or </w:t>
      </w:r>
      <w:r w:rsidR="00826CEA">
        <w:rPr>
          <w:rFonts w:ascii="Garamond" w:hAnsi="Garamond"/>
          <w:szCs w:val="24"/>
        </w:rPr>
        <w:t>business associate</w:t>
      </w:r>
      <w:r w:rsidRPr="00551F7B">
        <w:rPr>
          <w:rFonts w:ascii="Garamond" w:hAnsi="Garamond"/>
          <w:szCs w:val="24"/>
        </w:rPr>
        <w:t xml:space="preserve"> to another person authorized to access PHI at the same </w:t>
      </w:r>
      <w:r w:rsidR="00826CEA">
        <w:rPr>
          <w:rFonts w:ascii="Garamond" w:hAnsi="Garamond"/>
          <w:szCs w:val="24"/>
        </w:rPr>
        <w:t>covered entity</w:t>
      </w:r>
      <w:r w:rsidRPr="00551F7B">
        <w:rPr>
          <w:rFonts w:ascii="Garamond" w:hAnsi="Garamond"/>
          <w:szCs w:val="24"/>
        </w:rPr>
        <w:t xml:space="preserve"> or </w:t>
      </w:r>
      <w:r w:rsidR="00826CEA">
        <w:rPr>
          <w:rFonts w:ascii="Garamond" w:hAnsi="Garamond"/>
          <w:szCs w:val="24"/>
        </w:rPr>
        <w:t>business associate</w:t>
      </w:r>
      <w:r w:rsidRPr="00551F7B">
        <w:rPr>
          <w:rFonts w:ascii="Garamond" w:hAnsi="Garamond"/>
          <w:szCs w:val="24"/>
        </w:rPr>
        <w:t xml:space="preserve">, or organized health care arrangement in which the </w:t>
      </w:r>
      <w:r w:rsidR="00826CEA">
        <w:rPr>
          <w:rFonts w:ascii="Garamond" w:hAnsi="Garamond"/>
          <w:szCs w:val="24"/>
        </w:rPr>
        <w:t>covered entity</w:t>
      </w:r>
      <w:r w:rsidRPr="00551F7B">
        <w:rPr>
          <w:rFonts w:ascii="Garamond" w:hAnsi="Garamond"/>
          <w:szCs w:val="24"/>
        </w:rPr>
        <w:t xml:space="preserve"> participates, and the information received as a result of such disclosure is not further used or disclosed in a</w:t>
      </w:r>
      <w:r w:rsidR="00826CEA">
        <w:rPr>
          <w:rFonts w:ascii="Garamond" w:hAnsi="Garamond"/>
          <w:szCs w:val="24"/>
        </w:rPr>
        <w:t xml:space="preserve"> manner not permitted under HIPAA</w:t>
      </w:r>
      <w:r w:rsidRPr="00551F7B">
        <w:rPr>
          <w:rFonts w:ascii="Garamond" w:hAnsi="Garamond"/>
          <w:szCs w:val="24"/>
        </w:rPr>
        <w:t>.</w:t>
      </w:r>
    </w:p>
    <w:p w:rsidR="00E80B3D" w:rsidRPr="00551F7B" w:rsidRDefault="00E80B3D" w:rsidP="00602629">
      <w:pPr>
        <w:pStyle w:val="EndnoteText"/>
        <w:numPr>
          <w:ilvl w:val="2"/>
          <w:numId w:val="20"/>
        </w:numPr>
        <w:tabs>
          <w:tab w:val="left" w:pos="1440"/>
          <w:tab w:val="center" w:pos="4680"/>
        </w:tabs>
        <w:suppressAutoHyphens/>
        <w:ind w:left="720" w:firstLine="0"/>
        <w:rPr>
          <w:rFonts w:ascii="Garamond" w:hAnsi="Garamond"/>
          <w:szCs w:val="24"/>
        </w:rPr>
      </w:pPr>
      <w:r w:rsidRPr="00551F7B">
        <w:rPr>
          <w:rFonts w:ascii="Garamond" w:hAnsi="Garamond"/>
          <w:szCs w:val="24"/>
        </w:rPr>
        <w:t xml:space="preserve">A disclosure of </w:t>
      </w:r>
      <w:r w:rsidR="00CA053A">
        <w:rPr>
          <w:rFonts w:ascii="Garamond" w:hAnsi="Garamond"/>
          <w:szCs w:val="24"/>
        </w:rPr>
        <w:t>protected health information</w:t>
      </w:r>
      <w:r w:rsidRPr="00551F7B">
        <w:rPr>
          <w:rFonts w:ascii="Garamond" w:hAnsi="Garamond"/>
          <w:szCs w:val="24"/>
        </w:rPr>
        <w:t xml:space="preserve"> where a </w:t>
      </w:r>
      <w:r w:rsidR="00CA053A">
        <w:rPr>
          <w:rFonts w:ascii="Garamond" w:hAnsi="Garamond"/>
          <w:szCs w:val="24"/>
        </w:rPr>
        <w:t>covered entity</w:t>
      </w:r>
      <w:r w:rsidRPr="00551F7B">
        <w:rPr>
          <w:rFonts w:ascii="Garamond" w:hAnsi="Garamond"/>
          <w:szCs w:val="24"/>
        </w:rPr>
        <w:t xml:space="preserve"> or </w:t>
      </w:r>
      <w:r w:rsidR="00CA053A">
        <w:rPr>
          <w:rFonts w:ascii="Garamond" w:hAnsi="Garamond"/>
          <w:szCs w:val="24"/>
        </w:rPr>
        <w:t>business associate</w:t>
      </w:r>
      <w:r w:rsidRPr="00551F7B">
        <w:rPr>
          <w:rFonts w:ascii="Garamond" w:hAnsi="Garamond"/>
          <w:szCs w:val="24"/>
        </w:rPr>
        <w:t xml:space="preserve"> has a good faith belief that an unauthorized person to whom the disclosure was made would not reasonably have been able to retain such information.</w:t>
      </w:r>
    </w:p>
    <w:p w:rsidR="00E80B3D" w:rsidRPr="00161EBF" w:rsidRDefault="00E80B3D" w:rsidP="00E80B3D">
      <w:pPr>
        <w:pStyle w:val="HTMLPreformatted"/>
        <w:rPr>
          <w:rFonts w:ascii="Garamond" w:hAnsi="Garamond"/>
          <w:sz w:val="24"/>
          <w:szCs w:val="24"/>
        </w:rPr>
      </w:pPr>
    </w:p>
    <w:p w:rsidR="00E80B3D" w:rsidRPr="00161EBF" w:rsidRDefault="00CA053A" w:rsidP="00602629">
      <w:pPr>
        <w:rPr>
          <w:rFonts w:ascii="Garamond" w:hAnsi="Garamond"/>
          <w:szCs w:val="24"/>
        </w:rPr>
      </w:pPr>
      <w:r w:rsidRPr="00CA053A">
        <w:rPr>
          <w:rFonts w:ascii="Garamond" w:hAnsi="Garamond"/>
          <w:b/>
          <w:szCs w:val="24"/>
        </w:rPr>
        <w:t>2.2</w:t>
      </w:r>
      <w:r w:rsidRPr="00CA053A">
        <w:rPr>
          <w:rFonts w:ascii="Garamond" w:hAnsi="Garamond"/>
          <w:b/>
          <w:szCs w:val="24"/>
        </w:rPr>
        <w:tab/>
      </w:r>
      <w:r w:rsidR="00E80B3D" w:rsidRPr="00E80B3D">
        <w:rPr>
          <w:rFonts w:ascii="Garamond" w:hAnsi="Garamond"/>
          <w:b/>
          <w:szCs w:val="24"/>
          <w:u w:val="single"/>
        </w:rPr>
        <w:t>Protected Health Information (PHI)</w:t>
      </w:r>
      <w:r w:rsidR="00E80B3D">
        <w:rPr>
          <w:rFonts w:ascii="Garamond" w:hAnsi="Garamond"/>
          <w:szCs w:val="24"/>
        </w:rPr>
        <w:t>.</w:t>
      </w:r>
      <w:r w:rsidR="00E80B3D" w:rsidRPr="00161EBF">
        <w:rPr>
          <w:rFonts w:ascii="Garamond" w:hAnsi="Garamond"/>
          <w:szCs w:val="24"/>
        </w:rPr>
        <w:t xml:space="preserve"> </w:t>
      </w:r>
      <w:r>
        <w:rPr>
          <w:rFonts w:ascii="Garamond" w:hAnsi="Garamond"/>
          <w:szCs w:val="24"/>
        </w:rPr>
        <w:t>Protected health i</w:t>
      </w:r>
      <w:r w:rsidR="00E80B3D">
        <w:rPr>
          <w:rFonts w:ascii="Garamond" w:hAnsi="Garamond"/>
          <w:szCs w:val="24"/>
        </w:rPr>
        <w:t xml:space="preserve">nformation means </w:t>
      </w:r>
      <w:r w:rsidR="00E80B3D" w:rsidRPr="00161EBF">
        <w:rPr>
          <w:rFonts w:ascii="Garamond" w:hAnsi="Garamond"/>
          <w:szCs w:val="24"/>
        </w:rPr>
        <w:t xml:space="preserve">individually identifiable health information that is </w:t>
      </w:r>
      <w:r>
        <w:rPr>
          <w:rFonts w:ascii="Garamond" w:hAnsi="Garamond"/>
          <w:szCs w:val="24"/>
        </w:rPr>
        <w:t>transmitted by electronic media, maintained in electronic media,</w:t>
      </w:r>
      <w:r w:rsidR="00E80B3D" w:rsidRPr="00161EBF">
        <w:rPr>
          <w:rFonts w:ascii="Garamond" w:hAnsi="Garamond"/>
          <w:szCs w:val="24"/>
        </w:rPr>
        <w:t xml:space="preserve"> or transmitted or maintained in any other form or medium.</w:t>
      </w:r>
    </w:p>
    <w:p w:rsidR="00E80B3D" w:rsidRPr="00161EBF" w:rsidRDefault="00E80B3D" w:rsidP="00602629">
      <w:pPr>
        <w:rPr>
          <w:rFonts w:ascii="Garamond" w:hAnsi="Garamond"/>
          <w:szCs w:val="24"/>
        </w:rPr>
      </w:pPr>
    </w:p>
    <w:p w:rsidR="00E80B3D" w:rsidRPr="00161EBF" w:rsidRDefault="00CA053A" w:rsidP="00602629">
      <w:pPr>
        <w:rPr>
          <w:rFonts w:ascii="Garamond" w:hAnsi="Garamond"/>
          <w:szCs w:val="24"/>
        </w:rPr>
      </w:pPr>
      <w:r w:rsidRPr="00CA053A">
        <w:rPr>
          <w:rFonts w:ascii="Garamond" w:hAnsi="Garamond"/>
          <w:b/>
          <w:szCs w:val="24"/>
        </w:rPr>
        <w:t>2.3</w:t>
      </w:r>
      <w:r w:rsidRPr="00CA053A">
        <w:rPr>
          <w:rFonts w:ascii="Garamond" w:hAnsi="Garamond"/>
          <w:b/>
          <w:szCs w:val="24"/>
        </w:rPr>
        <w:tab/>
      </w:r>
      <w:r w:rsidR="00E80B3D" w:rsidRPr="00E80B3D">
        <w:rPr>
          <w:rFonts w:ascii="Garamond" w:hAnsi="Garamond"/>
          <w:b/>
          <w:szCs w:val="24"/>
          <w:u w:val="single"/>
        </w:rPr>
        <w:t>Unsecured Protected Health Information</w:t>
      </w:r>
      <w:r w:rsidR="00E80B3D">
        <w:rPr>
          <w:rFonts w:ascii="Garamond" w:hAnsi="Garamond"/>
          <w:b/>
          <w:szCs w:val="24"/>
          <w:u w:val="single"/>
        </w:rPr>
        <w:t xml:space="preserve"> (Unsecured PHI)</w:t>
      </w:r>
      <w:r w:rsidR="00E80B3D" w:rsidRPr="00E80B3D">
        <w:rPr>
          <w:rFonts w:ascii="Garamond" w:hAnsi="Garamond"/>
          <w:szCs w:val="24"/>
        </w:rPr>
        <w:t>.</w:t>
      </w:r>
      <w:r w:rsidR="00E80B3D" w:rsidRPr="00161EBF">
        <w:rPr>
          <w:rFonts w:ascii="Garamond" w:hAnsi="Garamond"/>
          <w:i/>
          <w:szCs w:val="24"/>
        </w:rPr>
        <w:t xml:space="preserve"> </w:t>
      </w:r>
      <w:r w:rsidR="00E80B3D" w:rsidRPr="000B5B50">
        <w:rPr>
          <w:rFonts w:ascii="Garamond" w:hAnsi="Garamond"/>
          <w:szCs w:val="24"/>
        </w:rPr>
        <w:t>Unsecured PHI</w:t>
      </w:r>
      <w:r w:rsidR="00E80B3D" w:rsidRPr="00161EBF">
        <w:rPr>
          <w:rFonts w:ascii="Garamond" w:hAnsi="Garamond"/>
          <w:i/>
          <w:szCs w:val="24"/>
        </w:rPr>
        <w:t xml:space="preserve"> </w:t>
      </w:r>
      <w:r w:rsidR="00E80B3D">
        <w:rPr>
          <w:rFonts w:ascii="Garamond" w:hAnsi="Garamond"/>
          <w:szCs w:val="24"/>
        </w:rPr>
        <w:t>means</w:t>
      </w:r>
      <w:r w:rsidR="00E80B3D" w:rsidRPr="00161EBF">
        <w:rPr>
          <w:rFonts w:ascii="Garamond" w:hAnsi="Garamond"/>
          <w:szCs w:val="24"/>
        </w:rPr>
        <w:t xml:space="preserve"> any PHI which is not unusable, unreadable, or indecipherable to unauthorized </w:t>
      </w:r>
      <w:r w:rsidR="00551F7B">
        <w:rPr>
          <w:rFonts w:ascii="Garamond" w:hAnsi="Garamond"/>
          <w:szCs w:val="24"/>
        </w:rPr>
        <w:t>persons</w:t>
      </w:r>
      <w:r w:rsidR="00E80B3D" w:rsidRPr="00161EBF">
        <w:rPr>
          <w:rFonts w:ascii="Garamond" w:hAnsi="Garamond"/>
          <w:szCs w:val="24"/>
        </w:rPr>
        <w:t xml:space="preserve"> through the use of </w:t>
      </w:r>
      <w:r w:rsidR="00551F7B">
        <w:rPr>
          <w:rFonts w:ascii="Garamond" w:hAnsi="Garamond"/>
          <w:szCs w:val="24"/>
        </w:rPr>
        <w:t xml:space="preserve">technology or methodology, such as encryption or destruction, </w:t>
      </w:r>
      <w:r w:rsidR="000B5B50">
        <w:rPr>
          <w:rFonts w:ascii="Garamond" w:hAnsi="Garamond"/>
          <w:szCs w:val="24"/>
        </w:rPr>
        <w:t xml:space="preserve">as specified by the </w:t>
      </w:r>
      <w:r w:rsidR="00551F7B">
        <w:rPr>
          <w:rFonts w:ascii="Garamond" w:hAnsi="Garamond"/>
          <w:szCs w:val="24"/>
        </w:rPr>
        <w:t>HSS Secretary.</w:t>
      </w:r>
    </w:p>
    <w:p w:rsidR="00E80B3D" w:rsidRDefault="00E80B3D" w:rsidP="00602629">
      <w:pPr>
        <w:rPr>
          <w:rFonts w:ascii="Garamond" w:hAnsi="Garamond"/>
          <w:szCs w:val="24"/>
        </w:rPr>
      </w:pPr>
    </w:p>
    <w:p w:rsidR="00161EBF" w:rsidRPr="00161EBF" w:rsidRDefault="00CA053A" w:rsidP="00602629">
      <w:pPr>
        <w:rPr>
          <w:rFonts w:ascii="Garamond" w:hAnsi="Garamond"/>
          <w:szCs w:val="24"/>
        </w:rPr>
      </w:pPr>
      <w:r w:rsidRPr="00CA053A">
        <w:rPr>
          <w:rFonts w:ascii="Garamond" w:hAnsi="Garamond"/>
          <w:b/>
          <w:szCs w:val="24"/>
        </w:rPr>
        <w:t>2.4</w:t>
      </w:r>
      <w:r w:rsidRPr="00CA053A">
        <w:rPr>
          <w:rFonts w:ascii="Garamond" w:hAnsi="Garamond"/>
          <w:b/>
          <w:szCs w:val="24"/>
        </w:rPr>
        <w:tab/>
      </w:r>
      <w:r w:rsidR="00E80B3D" w:rsidRPr="000B5B50">
        <w:rPr>
          <w:rFonts w:ascii="Garamond" w:hAnsi="Garamond"/>
          <w:b/>
          <w:szCs w:val="24"/>
          <w:u w:val="single"/>
        </w:rPr>
        <w:t>Workforce</w:t>
      </w:r>
      <w:r w:rsidR="000B5B50">
        <w:rPr>
          <w:rFonts w:ascii="Garamond" w:hAnsi="Garamond"/>
          <w:szCs w:val="24"/>
        </w:rPr>
        <w:t>. Workforce means</w:t>
      </w:r>
      <w:r w:rsidR="00E80B3D" w:rsidRPr="00161EBF">
        <w:rPr>
          <w:rFonts w:ascii="Garamond" w:hAnsi="Garamond"/>
          <w:szCs w:val="24"/>
        </w:rPr>
        <w:t xml:space="preserve"> employees, volunteers, tra</w:t>
      </w:r>
      <w:r>
        <w:rPr>
          <w:rFonts w:ascii="Garamond" w:hAnsi="Garamond"/>
          <w:szCs w:val="24"/>
        </w:rPr>
        <w:t>inees, and other persons</w:t>
      </w:r>
      <w:r w:rsidR="00E80B3D" w:rsidRPr="00161EBF">
        <w:rPr>
          <w:rFonts w:ascii="Garamond" w:hAnsi="Garamond"/>
          <w:szCs w:val="24"/>
        </w:rPr>
        <w:t xml:space="preserve"> u</w:t>
      </w:r>
      <w:r>
        <w:rPr>
          <w:rFonts w:ascii="Garamond" w:hAnsi="Garamond"/>
          <w:szCs w:val="24"/>
        </w:rPr>
        <w:t>nder the direct control of the P</w:t>
      </w:r>
      <w:r w:rsidR="00E80B3D" w:rsidRPr="00161EBF">
        <w:rPr>
          <w:rFonts w:ascii="Garamond" w:hAnsi="Garamond"/>
          <w:szCs w:val="24"/>
        </w:rPr>
        <w:t>ractice, wheth</w:t>
      </w:r>
      <w:r>
        <w:rPr>
          <w:rFonts w:ascii="Garamond" w:hAnsi="Garamond"/>
          <w:szCs w:val="24"/>
        </w:rPr>
        <w:t>er or not they are paid by the P</w:t>
      </w:r>
      <w:r w:rsidR="00E80B3D" w:rsidRPr="00161EBF">
        <w:rPr>
          <w:rFonts w:ascii="Garamond" w:hAnsi="Garamond"/>
          <w:szCs w:val="24"/>
        </w:rPr>
        <w:t>ractice.</w:t>
      </w:r>
    </w:p>
    <w:p w:rsidR="00161EBF" w:rsidRPr="00161EBF" w:rsidRDefault="00161EBF" w:rsidP="00CA053A">
      <w:pPr>
        <w:ind w:left="720" w:hanging="720"/>
        <w:rPr>
          <w:rFonts w:ascii="Garamond" w:hAnsi="Garamond"/>
          <w:szCs w:val="24"/>
        </w:rPr>
      </w:pPr>
    </w:p>
    <w:p w:rsidR="00161EBF" w:rsidRPr="00161EBF" w:rsidRDefault="0017516F" w:rsidP="00E80B3D">
      <w:pPr>
        <w:rPr>
          <w:rFonts w:ascii="Garamond" w:hAnsi="Garamond"/>
          <w:szCs w:val="24"/>
        </w:rPr>
      </w:pPr>
      <w:r>
        <w:rPr>
          <w:rFonts w:ascii="Garamond" w:hAnsi="Garamond"/>
          <w:b/>
          <w:szCs w:val="24"/>
          <w:u w:val="single"/>
        </w:rPr>
        <w:t xml:space="preserve">3. </w:t>
      </w:r>
      <w:r w:rsidR="000B5B50">
        <w:rPr>
          <w:rFonts w:ascii="Garamond" w:hAnsi="Garamond"/>
          <w:b/>
          <w:szCs w:val="24"/>
          <w:u w:val="single"/>
        </w:rPr>
        <w:t>POLICY</w:t>
      </w:r>
      <w:r w:rsidR="00B635BD">
        <w:rPr>
          <w:rFonts w:ascii="Garamond" w:hAnsi="Garamond"/>
          <w:b/>
          <w:szCs w:val="24"/>
          <w:u w:val="single"/>
        </w:rPr>
        <w:t xml:space="preserve"> AND PROCEDURES</w:t>
      </w:r>
    </w:p>
    <w:p w:rsidR="00675ECB" w:rsidRDefault="00675ECB" w:rsidP="00E80B3D">
      <w:pPr>
        <w:rPr>
          <w:rFonts w:ascii="Garamond" w:hAnsi="Garamond"/>
          <w:szCs w:val="24"/>
        </w:rPr>
      </w:pPr>
    </w:p>
    <w:p w:rsidR="00E55F6D" w:rsidRDefault="005F6179" w:rsidP="005F6179">
      <w:pPr>
        <w:rPr>
          <w:rFonts w:ascii="Garamond" w:hAnsi="Garamond"/>
          <w:szCs w:val="24"/>
        </w:rPr>
      </w:pPr>
      <w:r>
        <w:rPr>
          <w:rFonts w:ascii="Garamond" w:hAnsi="Garamond"/>
          <w:szCs w:val="24"/>
        </w:rPr>
        <w:t>In summary, HIPAA requires that covered entities</w:t>
      </w:r>
      <w:r w:rsidR="00E55F6D">
        <w:rPr>
          <w:rFonts w:ascii="Garamond" w:hAnsi="Garamond"/>
          <w:szCs w:val="24"/>
        </w:rPr>
        <w:t xml:space="preserve"> notify</w:t>
      </w:r>
      <w:r>
        <w:rPr>
          <w:rFonts w:ascii="Garamond" w:hAnsi="Garamond"/>
          <w:szCs w:val="24"/>
        </w:rPr>
        <w:t xml:space="preserve"> individuals whose unsecured protected health information</w:t>
      </w:r>
      <w:r w:rsidR="00E55F6D">
        <w:rPr>
          <w:rFonts w:ascii="Garamond" w:hAnsi="Garamond"/>
          <w:szCs w:val="24"/>
        </w:rPr>
        <w:t xml:space="preserve"> has been </w:t>
      </w:r>
      <w:r>
        <w:rPr>
          <w:rFonts w:ascii="Garamond" w:hAnsi="Garamond"/>
          <w:szCs w:val="24"/>
        </w:rPr>
        <w:t xml:space="preserve">impermissibly </w:t>
      </w:r>
      <w:r w:rsidR="00E55F6D">
        <w:rPr>
          <w:rFonts w:ascii="Garamond" w:hAnsi="Garamond"/>
          <w:szCs w:val="24"/>
        </w:rPr>
        <w:t>accessed, acquired, used, or disclosed</w:t>
      </w:r>
      <w:r w:rsidR="000F4601">
        <w:rPr>
          <w:rFonts w:ascii="Garamond" w:hAnsi="Garamond"/>
          <w:szCs w:val="24"/>
        </w:rPr>
        <w:t>,</w:t>
      </w:r>
      <w:r w:rsidR="00E55F6D">
        <w:rPr>
          <w:rFonts w:ascii="Garamond" w:hAnsi="Garamond"/>
          <w:szCs w:val="24"/>
        </w:rPr>
        <w:t xml:space="preserve"> </w:t>
      </w:r>
      <w:r>
        <w:rPr>
          <w:rFonts w:ascii="Garamond" w:hAnsi="Garamond"/>
          <w:szCs w:val="24"/>
        </w:rPr>
        <w:t xml:space="preserve">compromising the security or privacy of the protected health information. The notification requirements only apply to breaches of unsecured PHI. In other words, if PHI </w:t>
      </w:r>
      <w:r w:rsidR="00E55F6D">
        <w:rPr>
          <w:rFonts w:ascii="Garamond" w:hAnsi="Garamond"/>
          <w:szCs w:val="24"/>
        </w:rPr>
        <w:t>is encrypted</w:t>
      </w:r>
      <w:r w:rsidR="00DD1B5A">
        <w:rPr>
          <w:rFonts w:ascii="Garamond" w:hAnsi="Garamond"/>
          <w:szCs w:val="24"/>
        </w:rPr>
        <w:t xml:space="preserve"> or destroyed</w:t>
      </w:r>
      <w:r w:rsidR="00E55F6D">
        <w:rPr>
          <w:rFonts w:ascii="Garamond" w:hAnsi="Garamond"/>
          <w:szCs w:val="24"/>
        </w:rPr>
        <w:t xml:space="preserve"> in accordance with the HIPAA guidance</w:t>
      </w:r>
      <w:r>
        <w:rPr>
          <w:rFonts w:ascii="Garamond" w:hAnsi="Garamond"/>
          <w:szCs w:val="24"/>
        </w:rPr>
        <w:t>, there is a “safe harbor” and notification is not required.</w:t>
      </w:r>
    </w:p>
    <w:p w:rsidR="00E55F6D" w:rsidRDefault="00E55F6D" w:rsidP="00E80B3D">
      <w:pPr>
        <w:rPr>
          <w:rFonts w:ascii="Garamond" w:hAnsi="Garamond"/>
          <w:szCs w:val="24"/>
        </w:rPr>
      </w:pPr>
    </w:p>
    <w:p w:rsidR="003E651A" w:rsidRPr="00CA053A" w:rsidRDefault="00CA053A" w:rsidP="00602629">
      <w:pPr>
        <w:tabs>
          <w:tab w:val="left" w:pos="0"/>
        </w:tabs>
        <w:overflowPunct/>
        <w:autoSpaceDE/>
        <w:autoSpaceDN/>
        <w:adjustRightInd/>
        <w:textAlignment w:val="auto"/>
        <w:rPr>
          <w:rFonts w:ascii="Garamond" w:hAnsi="Garamond"/>
          <w:szCs w:val="24"/>
        </w:rPr>
      </w:pPr>
      <w:r w:rsidRPr="00CA053A">
        <w:rPr>
          <w:rFonts w:ascii="Garamond" w:hAnsi="Garamond"/>
          <w:b/>
          <w:szCs w:val="24"/>
        </w:rPr>
        <w:t>3.1</w:t>
      </w:r>
      <w:r w:rsidRPr="00CA053A">
        <w:rPr>
          <w:rFonts w:ascii="Garamond" w:hAnsi="Garamond"/>
          <w:b/>
          <w:szCs w:val="24"/>
        </w:rPr>
        <w:tab/>
      </w:r>
      <w:r w:rsidR="00161EBF" w:rsidRPr="00CA053A">
        <w:rPr>
          <w:rFonts w:ascii="Garamond" w:hAnsi="Garamond"/>
          <w:b/>
          <w:szCs w:val="24"/>
          <w:u w:val="single"/>
        </w:rPr>
        <w:t>Discovery of Breach</w:t>
      </w:r>
      <w:r>
        <w:rPr>
          <w:rFonts w:ascii="Garamond" w:hAnsi="Garamond"/>
          <w:szCs w:val="24"/>
        </w:rPr>
        <w:t>.</w:t>
      </w:r>
      <w:r w:rsidR="00161EBF" w:rsidRPr="00CA053A">
        <w:rPr>
          <w:rFonts w:ascii="Garamond" w:hAnsi="Garamond"/>
          <w:szCs w:val="24"/>
        </w:rPr>
        <w:t xml:space="preserve"> A bre</w:t>
      </w:r>
      <w:r w:rsidR="00826CEA" w:rsidRPr="00CA053A">
        <w:rPr>
          <w:rFonts w:ascii="Garamond" w:hAnsi="Garamond"/>
          <w:szCs w:val="24"/>
        </w:rPr>
        <w:t xml:space="preserve">ach shall be treated as </w:t>
      </w:r>
      <w:r w:rsidR="00161EBF" w:rsidRPr="00CA053A">
        <w:rPr>
          <w:rFonts w:ascii="Garamond" w:hAnsi="Garamond"/>
          <w:szCs w:val="24"/>
        </w:rPr>
        <w:t xml:space="preserve">discovered as of the first day on which such breach is known to the </w:t>
      </w:r>
      <w:r>
        <w:rPr>
          <w:rFonts w:ascii="Garamond" w:hAnsi="Garamond"/>
          <w:szCs w:val="24"/>
        </w:rPr>
        <w:t>Practice</w:t>
      </w:r>
      <w:r w:rsidR="00161EBF" w:rsidRPr="00CA053A">
        <w:rPr>
          <w:rFonts w:ascii="Garamond" w:hAnsi="Garamond"/>
          <w:szCs w:val="24"/>
        </w:rPr>
        <w:t xml:space="preserve"> or</w:t>
      </w:r>
      <w:r w:rsidR="000F4601">
        <w:rPr>
          <w:rFonts w:ascii="Garamond" w:hAnsi="Garamond"/>
          <w:szCs w:val="24"/>
        </w:rPr>
        <w:t>,</w:t>
      </w:r>
      <w:r w:rsidR="00161EBF" w:rsidRPr="00CA053A">
        <w:rPr>
          <w:rFonts w:ascii="Garamond" w:hAnsi="Garamond"/>
          <w:szCs w:val="24"/>
        </w:rPr>
        <w:t xml:space="preserve"> by exercising reasonable diligence</w:t>
      </w:r>
      <w:r w:rsidR="000F4601">
        <w:rPr>
          <w:rFonts w:ascii="Garamond" w:hAnsi="Garamond"/>
          <w:szCs w:val="24"/>
        </w:rPr>
        <w:t>,</w:t>
      </w:r>
      <w:r w:rsidR="00161EBF" w:rsidRPr="00CA053A">
        <w:rPr>
          <w:rFonts w:ascii="Garamond" w:hAnsi="Garamond"/>
          <w:szCs w:val="24"/>
        </w:rPr>
        <w:t xml:space="preserve"> would have been known to the </w:t>
      </w:r>
      <w:r>
        <w:rPr>
          <w:rFonts w:ascii="Garamond" w:hAnsi="Garamond"/>
          <w:szCs w:val="24"/>
        </w:rPr>
        <w:t>Practice</w:t>
      </w:r>
      <w:r w:rsidR="00161EBF" w:rsidRPr="00CA053A">
        <w:rPr>
          <w:rFonts w:ascii="Garamond" w:hAnsi="Garamond"/>
          <w:szCs w:val="24"/>
        </w:rPr>
        <w:t xml:space="preserve"> </w:t>
      </w:r>
      <w:r w:rsidR="0017516F" w:rsidRPr="00CA053A">
        <w:rPr>
          <w:rFonts w:ascii="Garamond" w:hAnsi="Garamond"/>
          <w:szCs w:val="24"/>
        </w:rPr>
        <w:t>or</w:t>
      </w:r>
      <w:r w:rsidR="00161EBF" w:rsidRPr="00CA053A">
        <w:rPr>
          <w:rFonts w:ascii="Garamond" w:hAnsi="Garamond"/>
          <w:szCs w:val="24"/>
        </w:rPr>
        <w:t xml:space="preserve"> any person, other than the person committing the breach, who </w:t>
      </w:r>
      <w:r>
        <w:rPr>
          <w:rFonts w:ascii="Garamond" w:hAnsi="Garamond"/>
          <w:szCs w:val="24"/>
        </w:rPr>
        <w:t xml:space="preserve">is a workforce member or agent </w:t>
      </w:r>
      <w:r w:rsidR="00161EBF" w:rsidRPr="00CA053A">
        <w:rPr>
          <w:rFonts w:ascii="Garamond" w:hAnsi="Garamond"/>
          <w:szCs w:val="24"/>
        </w:rPr>
        <w:t xml:space="preserve">of the </w:t>
      </w:r>
      <w:r>
        <w:rPr>
          <w:rFonts w:ascii="Garamond" w:hAnsi="Garamond"/>
          <w:szCs w:val="24"/>
        </w:rPr>
        <w:t>Practice</w:t>
      </w:r>
      <w:r w:rsidR="0017516F" w:rsidRPr="00CA053A">
        <w:rPr>
          <w:rFonts w:ascii="Garamond" w:hAnsi="Garamond"/>
          <w:szCs w:val="24"/>
        </w:rPr>
        <w:t xml:space="preserve">. </w:t>
      </w:r>
    </w:p>
    <w:p w:rsidR="003E651A" w:rsidRDefault="003E651A" w:rsidP="00602629">
      <w:pPr>
        <w:tabs>
          <w:tab w:val="left" w:pos="0"/>
        </w:tabs>
        <w:overflowPunct/>
        <w:autoSpaceDE/>
        <w:autoSpaceDN/>
        <w:adjustRightInd/>
        <w:textAlignment w:val="auto"/>
        <w:rPr>
          <w:rFonts w:ascii="Garamond" w:hAnsi="Garamond"/>
          <w:szCs w:val="24"/>
        </w:rPr>
      </w:pPr>
    </w:p>
    <w:p w:rsidR="003E651A" w:rsidRPr="00CA053A" w:rsidRDefault="003E651A" w:rsidP="00602629">
      <w:pPr>
        <w:tabs>
          <w:tab w:val="left" w:pos="0"/>
        </w:tabs>
        <w:rPr>
          <w:rFonts w:ascii="Garamond" w:hAnsi="Garamond"/>
          <w:szCs w:val="24"/>
        </w:rPr>
      </w:pPr>
      <w:r w:rsidRPr="00CA053A">
        <w:rPr>
          <w:rFonts w:ascii="Garamond" w:hAnsi="Garamond"/>
          <w:szCs w:val="24"/>
        </w:rPr>
        <w:t xml:space="preserve">Workforce members who believe that patient information has been used or disclosed in any way that compromises the security or privacy of that information shall immediately notify [list all as appropriate: his/her supervisor, the Practice administrator, the privacy officer, other]. </w:t>
      </w:r>
    </w:p>
    <w:p w:rsidR="00826CEA" w:rsidRDefault="00826CEA" w:rsidP="00602629">
      <w:pPr>
        <w:tabs>
          <w:tab w:val="left" w:pos="0"/>
        </w:tabs>
        <w:overflowPunct/>
        <w:autoSpaceDE/>
        <w:autoSpaceDN/>
        <w:adjustRightInd/>
        <w:textAlignment w:val="auto"/>
        <w:rPr>
          <w:rFonts w:ascii="Garamond" w:hAnsi="Garamond"/>
          <w:szCs w:val="24"/>
        </w:rPr>
      </w:pPr>
    </w:p>
    <w:p w:rsidR="00161EBF" w:rsidRPr="00161EBF" w:rsidRDefault="00161EBF" w:rsidP="00602629">
      <w:pPr>
        <w:tabs>
          <w:tab w:val="left" w:pos="0"/>
        </w:tabs>
        <w:overflowPunct/>
        <w:autoSpaceDE/>
        <w:autoSpaceDN/>
        <w:adjustRightInd/>
        <w:textAlignment w:val="auto"/>
        <w:rPr>
          <w:rFonts w:ascii="Garamond" w:hAnsi="Garamond"/>
          <w:szCs w:val="24"/>
        </w:rPr>
      </w:pPr>
      <w:r w:rsidRPr="00161EBF">
        <w:rPr>
          <w:rFonts w:ascii="Garamond" w:hAnsi="Garamond"/>
          <w:szCs w:val="24"/>
        </w:rPr>
        <w:t xml:space="preserve">Following the discovery of a potential breach, the </w:t>
      </w:r>
      <w:r w:rsidR="00CA053A">
        <w:rPr>
          <w:rFonts w:ascii="Garamond" w:hAnsi="Garamond"/>
          <w:szCs w:val="24"/>
        </w:rPr>
        <w:t>Practice</w:t>
      </w:r>
      <w:r w:rsidRPr="00161EBF">
        <w:rPr>
          <w:rFonts w:ascii="Garamond" w:hAnsi="Garamond"/>
          <w:szCs w:val="24"/>
        </w:rPr>
        <w:t xml:space="preserve"> shall begin an investigation, conduct a risk assessment, and</w:t>
      </w:r>
      <w:r w:rsidR="00CA053A">
        <w:rPr>
          <w:rFonts w:ascii="Garamond" w:hAnsi="Garamond"/>
          <w:szCs w:val="24"/>
        </w:rPr>
        <w:t>,</w:t>
      </w:r>
      <w:r w:rsidRPr="00161EBF">
        <w:rPr>
          <w:rFonts w:ascii="Garamond" w:hAnsi="Garamond"/>
          <w:szCs w:val="24"/>
        </w:rPr>
        <w:t xml:space="preserve"> based on the results of the risk assessment, begin the process </w:t>
      </w:r>
      <w:r w:rsidR="0017516F">
        <w:rPr>
          <w:rFonts w:ascii="Garamond" w:hAnsi="Garamond"/>
          <w:szCs w:val="24"/>
        </w:rPr>
        <w:t>of</w:t>
      </w:r>
      <w:r w:rsidRPr="00161EBF">
        <w:rPr>
          <w:rFonts w:ascii="Garamond" w:hAnsi="Garamond"/>
          <w:szCs w:val="24"/>
        </w:rPr>
        <w:t xml:space="preserve"> notify</w:t>
      </w:r>
      <w:r w:rsidR="0017516F">
        <w:rPr>
          <w:rFonts w:ascii="Garamond" w:hAnsi="Garamond"/>
          <w:szCs w:val="24"/>
        </w:rPr>
        <w:t>ing</w:t>
      </w:r>
      <w:r w:rsidRPr="00161EBF">
        <w:rPr>
          <w:rFonts w:ascii="Garamond" w:hAnsi="Garamond"/>
          <w:szCs w:val="24"/>
        </w:rPr>
        <w:t xml:space="preserve"> each individual whose PHI has be</w:t>
      </w:r>
      <w:r w:rsidR="000F4601">
        <w:rPr>
          <w:rFonts w:ascii="Garamond" w:hAnsi="Garamond"/>
          <w:szCs w:val="24"/>
        </w:rPr>
        <w:t>en, or is reasonably believed</w:t>
      </w:r>
      <w:r w:rsidRPr="00161EBF">
        <w:rPr>
          <w:rFonts w:ascii="Garamond" w:hAnsi="Garamond"/>
          <w:szCs w:val="24"/>
        </w:rPr>
        <w:t xml:space="preserve"> by the </w:t>
      </w:r>
      <w:r w:rsidR="00CA053A">
        <w:rPr>
          <w:rFonts w:ascii="Garamond" w:hAnsi="Garamond"/>
          <w:szCs w:val="24"/>
        </w:rPr>
        <w:t>Practice</w:t>
      </w:r>
      <w:r w:rsidRPr="00161EBF">
        <w:rPr>
          <w:rFonts w:ascii="Garamond" w:hAnsi="Garamond"/>
          <w:szCs w:val="24"/>
        </w:rPr>
        <w:t xml:space="preserve"> to have been, accessed, acquired, used, or disclo</w:t>
      </w:r>
      <w:r w:rsidR="00CA053A">
        <w:rPr>
          <w:rFonts w:ascii="Garamond" w:hAnsi="Garamond"/>
          <w:szCs w:val="24"/>
        </w:rPr>
        <w:t xml:space="preserve">sed as a result of the breach. </w:t>
      </w:r>
      <w:r w:rsidRPr="00161EBF">
        <w:rPr>
          <w:rFonts w:ascii="Garamond" w:hAnsi="Garamond"/>
          <w:szCs w:val="24"/>
        </w:rPr>
        <w:t xml:space="preserve">The </w:t>
      </w:r>
      <w:r w:rsidR="00CA053A">
        <w:rPr>
          <w:rFonts w:ascii="Garamond" w:hAnsi="Garamond"/>
          <w:szCs w:val="24"/>
        </w:rPr>
        <w:t>Practice</w:t>
      </w:r>
      <w:r w:rsidRPr="00161EBF">
        <w:rPr>
          <w:rFonts w:ascii="Garamond" w:hAnsi="Garamond"/>
          <w:szCs w:val="24"/>
        </w:rPr>
        <w:t xml:space="preserve"> shall also begin the process of determining what notifications are required or should be made</w:t>
      </w:r>
      <w:r w:rsidR="0017516F">
        <w:rPr>
          <w:rFonts w:ascii="Garamond" w:hAnsi="Garamond"/>
          <w:szCs w:val="24"/>
        </w:rPr>
        <w:t>, if any, to the</w:t>
      </w:r>
      <w:r w:rsidRPr="00161EBF">
        <w:rPr>
          <w:rFonts w:ascii="Garamond" w:hAnsi="Garamond"/>
          <w:szCs w:val="24"/>
        </w:rPr>
        <w:t xml:space="preserve"> Secretary of </w:t>
      </w:r>
      <w:r w:rsidR="0017516F">
        <w:rPr>
          <w:rFonts w:ascii="Garamond" w:hAnsi="Garamond"/>
          <w:szCs w:val="24"/>
        </w:rPr>
        <w:t>the Department of Health and</w:t>
      </w:r>
      <w:r w:rsidRPr="00161EBF">
        <w:rPr>
          <w:rFonts w:ascii="Garamond" w:hAnsi="Garamond"/>
          <w:szCs w:val="24"/>
        </w:rPr>
        <w:t xml:space="preserve"> Human </w:t>
      </w:r>
      <w:r w:rsidR="0017516F">
        <w:rPr>
          <w:rFonts w:ascii="Garamond" w:hAnsi="Garamond"/>
          <w:szCs w:val="24"/>
        </w:rPr>
        <w:t xml:space="preserve">Services (HHS), media outlets, </w:t>
      </w:r>
      <w:r w:rsidR="000F4601">
        <w:rPr>
          <w:rFonts w:ascii="Garamond" w:hAnsi="Garamond"/>
          <w:szCs w:val="24"/>
        </w:rPr>
        <w:t xml:space="preserve">[optional: </w:t>
      </w:r>
      <w:r w:rsidR="0017516F">
        <w:rPr>
          <w:rFonts w:ascii="Garamond" w:hAnsi="Garamond"/>
          <w:szCs w:val="24"/>
        </w:rPr>
        <w:t>or l</w:t>
      </w:r>
      <w:r w:rsidRPr="00161EBF">
        <w:rPr>
          <w:rFonts w:ascii="Garamond" w:hAnsi="Garamond"/>
          <w:szCs w:val="24"/>
        </w:rPr>
        <w:t>aw enforcement officials</w:t>
      </w:r>
      <w:r w:rsidR="000F4601">
        <w:rPr>
          <w:rFonts w:ascii="Garamond" w:hAnsi="Garamond"/>
          <w:szCs w:val="24"/>
        </w:rPr>
        <w:t>]</w:t>
      </w:r>
      <w:r w:rsidR="0017516F">
        <w:rPr>
          <w:rFonts w:ascii="Garamond" w:hAnsi="Garamond"/>
          <w:szCs w:val="24"/>
        </w:rPr>
        <w:t>.</w:t>
      </w:r>
    </w:p>
    <w:p w:rsidR="00161EBF" w:rsidRPr="00161EBF" w:rsidRDefault="00161EBF" w:rsidP="00CA053A">
      <w:pPr>
        <w:tabs>
          <w:tab w:val="left" w:pos="720"/>
        </w:tabs>
        <w:ind w:left="720" w:hanging="720"/>
        <w:rPr>
          <w:rFonts w:ascii="Garamond" w:hAnsi="Garamond"/>
          <w:szCs w:val="24"/>
        </w:rPr>
      </w:pPr>
      <w:r w:rsidRPr="00161EBF">
        <w:rPr>
          <w:rFonts w:ascii="Garamond" w:hAnsi="Garamond"/>
          <w:szCs w:val="24"/>
        </w:rPr>
        <w:t xml:space="preserve">  </w:t>
      </w:r>
    </w:p>
    <w:p w:rsidR="004013BA" w:rsidRDefault="004013BA" w:rsidP="00602629">
      <w:pPr>
        <w:overflowPunct/>
        <w:autoSpaceDE/>
        <w:autoSpaceDN/>
        <w:adjustRightInd/>
        <w:textAlignment w:val="auto"/>
        <w:rPr>
          <w:rFonts w:ascii="Garamond" w:hAnsi="Garamond"/>
          <w:szCs w:val="24"/>
        </w:rPr>
      </w:pPr>
      <w:r w:rsidRPr="004013BA">
        <w:rPr>
          <w:rFonts w:ascii="Garamond" w:hAnsi="Garamond"/>
          <w:b/>
          <w:szCs w:val="24"/>
        </w:rPr>
        <w:t>3.2</w:t>
      </w:r>
      <w:r w:rsidRPr="004013BA">
        <w:rPr>
          <w:rFonts w:ascii="Garamond" w:hAnsi="Garamond"/>
          <w:b/>
          <w:szCs w:val="24"/>
        </w:rPr>
        <w:tab/>
      </w:r>
      <w:r w:rsidR="00161EBF" w:rsidRPr="004013BA">
        <w:rPr>
          <w:rFonts w:ascii="Garamond" w:hAnsi="Garamond"/>
          <w:b/>
          <w:szCs w:val="24"/>
          <w:u w:val="single"/>
        </w:rPr>
        <w:t>Breach Investigation</w:t>
      </w:r>
      <w:r w:rsidRPr="004013BA">
        <w:rPr>
          <w:rFonts w:ascii="Garamond" w:hAnsi="Garamond"/>
          <w:szCs w:val="24"/>
        </w:rPr>
        <w:t>.</w:t>
      </w:r>
      <w:r w:rsidR="0017516F" w:rsidRPr="004013BA">
        <w:rPr>
          <w:rFonts w:ascii="Garamond" w:hAnsi="Garamond"/>
          <w:szCs w:val="24"/>
        </w:rPr>
        <w:t xml:space="preserve"> </w:t>
      </w:r>
      <w:r w:rsidR="00161EBF" w:rsidRPr="004013BA">
        <w:rPr>
          <w:rFonts w:ascii="Garamond" w:hAnsi="Garamond"/>
          <w:szCs w:val="24"/>
        </w:rPr>
        <w:t xml:space="preserve">The </w:t>
      </w:r>
      <w:r w:rsidR="00CA053A" w:rsidRPr="004013BA">
        <w:rPr>
          <w:rFonts w:ascii="Garamond" w:hAnsi="Garamond"/>
          <w:szCs w:val="24"/>
        </w:rPr>
        <w:t>Practice</w:t>
      </w:r>
      <w:r w:rsidR="00161EBF" w:rsidRPr="004013BA">
        <w:rPr>
          <w:rFonts w:ascii="Garamond" w:hAnsi="Garamond"/>
          <w:szCs w:val="24"/>
        </w:rPr>
        <w:t xml:space="preserve"> shall name an individual to act as the investigator of the breach </w:t>
      </w:r>
      <w:r w:rsidR="003E651A" w:rsidRPr="004013BA">
        <w:rPr>
          <w:rFonts w:ascii="Garamond" w:hAnsi="Garamond"/>
          <w:szCs w:val="24"/>
        </w:rPr>
        <w:t>[or list that individual here:</w:t>
      </w:r>
      <w:r w:rsidR="003E651A">
        <w:rPr>
          <w:rFonts w:ascii="Garamond" w:hAnsi="Garamond"/>
          <w:szCs w:val="24"/>
        </w:rPr>
        <w:t xml:space="preserve"> e.g.,</w:t>
      </w:r>
      <w:r w:rsidR="00161EBF" w:rsidRPr="00161EBF">
        <w:rPr>
          <w:rFonts w:ascii="Garamond" w:hAnsi="Garamond"/>
          <w:szCs w:val="24"/>
        </w:rPr>
        <w:t xml:space="preserve"> privacy officer, se</w:t>
      </w:r>
      <w:r w:rsidR="0017516F">
        <w:rPr>
          <w:rFonts w:ascii="Garamond" w:hAnsi="Garamond"/>
          <w:szCs w:val="24"/>
        </w:rPr>
        <w:t xml:space="preserve">curity officer, risk manager, other). </w:t>
      </w:r>
      <w:r w:rsidR="00161EBF" w:rsidRPr="00161EBF">
        <w:rPr>
          <w:rFonts w:ascii="Garamond" w:hAnsi="Garamond"/>
          <w:szCs w:val="24"/>
        </w:rPr>
        <w:t>The investigator shall be responsible for the management of the breac</w:t>
      </w:r>
      <w:r>
        <w:rPr>
          <w:rFonts w:ascii="Garamond" w:hAnsi="Garamond"/>
          <w:szCs w:val="24"/>
        </w:rPr>
        <w:t>h investigation, completion of the</w:t>
      </w:r>
      <w:r w:rsidR="00161EBF" w:rsidRPr="00161EBF">
        <w:rPr>
          <w:rFonts w:ascii="Garamond" w:hAnsi="Garamond"/>
          <w:szCs w:val="24"/>
        </w:rPr>
        <w:t xml:space="preserve"> risk assessment, and coordinating with others in the </w:t>
      </w:r>
      <w:r w:rsidR="00CA053A">
        <w:rPr>
          <w:rFonts w:ascii="Garamond" w:hAnsi="Garamond"/>
          <w:szCs w:val="24"/>
        </w:rPr>
        <w:t>Practice</w:t>
      </w:r>
      <w:r w:rsidR="00161EBF" w:rsidRPr="00161EBF">
        <w:rPr>
          <w:rFonts w:ascii="Garamond" w:hAnsi="Garamond"/>
          <w:szCs w:val="24"/>
        </w:rPr>
        <w:t xml:space="preserve"> as appropriate (e.g., administration, security incident response team, human resources, risk management, </w:t>
      </w:r>
      <w:r w:rsidR="0017516F">
        <w:rPr>
          <w:rFonts w:ascii="Garamond" w:hAnsi="Garamond"/>
          <w:szCs w:val="24"/>
        </w:rPr>
        <w:t xml:space="preserve">public relations, legal </w:t>
      </w:r>
      <w:r w:rsidR="0017516F" w:rsidRPr="003E651A">
        <w:rPr>
          <w:rFonts w:ascii="Garamond" w:hAnsi="Garamond"/>
          <w:szCs w:val="24"/>
        </w:rPr>
        <w:t xml:space="preserve">counsel.) </w:t>
      </w:r>
      <w:r w:rsidR="003E651A" w:rsidRPr="003E651A">
        <w:rPr>
          <w:rFonts w:ascii="Garamond" w:hAnsi="Garamond"/>
          <w:szCs w:val="24"/>
        </w:rPr>
        <w:t xml:space="preserve">The Practice's entire workforce is expected to assist management in this investigation as requested. </w:t>
      </w:r>
      <w:r w:rsidR="00161EBF" w:rsidRPr="003E651A">
        <w:rPr>
          <w:rFonts w:ascii="Garamond" w:hAnsi="Garamond"/>
          <w:szCs w:val="24"/>
        </w:rPr>
        <w:t>The</w:t>
      </w:r>
      <w:r w:rsidR="00161EBF" w:rsidRPr="00161EBF">
        <w:rPr>
          <w:rFonts w:ascii="Garamond" w:hAnsi="Garamond"/>
          <w:szCs w:val="24"/>
        </w:rPr>
        <w:t xml:space="preserve"> investigator shall be the key facilitator for all breach notification processes</w:t>
      </w:r>
      <w:r w:rsidR="0017516F">
        <w:rPr>
          <w:rFonts w:ascii="Garamond" w:hAnsi="Garamond"/>
          <w:szCs w:val="24"/>
        </w:rPr>
        <w:t>.</w:t>
      </w:r>
      <w:r w:rsidR="00161EBF" w:rsidRPr="00161EBF">
        <w:rPr>
          <w:rFonts w:ascii="Garamond" w:hAnsi="Garamond"/>
          <w:szCs w:val="24"/>
        </w:rPr>
        <w:t xml:space="preserve"> </w:t>
      </w:r>
    </w:p>
    <w:p w:rsidR="004013BA" w:rsidRDefault="004013BA" w:rsidP="004013BA">
      <w:pPr>
        <w:overflowPunct/>
        <w:autoSpaceDE/>
        <w:autoSpaceDN/>
        <w:adjustRightInd/>
        <w:ind w:left="720" w:hanging="720"/>
        <w:textAlignment w:val="auto"/>
        <w:rPr>
          <w:rFonts w:ascii="Garamond" w:hAnsi="Garamond"/>
          <w:szCs w:val="24"/>
          <w:u w:val="single"/>
        </w:rPr>
      </w:pPr>
    </w:p>
    <w:p w:rsidR="00826CEA" w:rsidRDefault="004013BA" w:rsidP="00602629">
      <w:pPr>
        <w:overflowPunct/>
        <w:autoSpaceDE/>
        <w:autoSpaceDN/>
        <w:adjustRightInd/>
        <w:textAlignment w:val="auto"/>
        <w:rPr>
          <w:rFonts w:ascii="Garamond" w:hAnsi="Garamond"/>
          <w:szCs w:val="24"/>
        </w:rPr>
      </w:pPr>
      <w:r w:rsidRPr="004013BA">
        <w:rPr>
          <w:rFonts w:ascii="Garamond" w:hAnsi="Garamond"/>
          <w:b/>
          <w:szCs w:val="24"/>
        </w:rPr>
        <w:t>3.3</w:t>
      </w:r>
      <w:r w:rsidRPr="004013BA">
        <w:rPr>
          <w:rFonts w:ascii="Garamond" w:hAnsi="Garamond"/>
          <w:b/>
          <w:szCs w:val="24"/>
        </w:rPr>
        <w:tab/>
      </w:r>
      <w:r w:rsidR="00161EBF" w:rsidRPr="004013BA">
        <w:rPr>
          <w:rFonts w:ascii="Garamond" w:hAnsi="Garamond"/>
          <w:b/>
          <w:szCs w:val="24"/>
          <w:u w:val="single"/>
        </w:rPr>
        <w:t>Risk Assessment</w:t>
      </w:r>
      <w:r>
        <w:rPr>
          <w:rFonts w:ascii="Garamond" w:hAnsi="Garamond"/>
          <w:szCs w:val="24"/>
        </w:rPr>
        <w:t>.</w:t>
      </w:r>
      <w:r w:rsidR="00161EBF" w:rsidRPr="004013BA">
        <w:rPr>
          <w:rFonts w:ascii="Garamond" w:hAnsi="Garamond"/>
          <w:szCs w:val="24"/>
        </w:rPr>
        <w:t xml:space="preserve"> </w:t>
      </w:r>
      <w:r w:rsidR="006054FE">
        <w:rPr>
          <w:rFonts w:ascii="Garamond" w:hAnsi="Garamond"/>
          <w:szCs w:val="24"/>
        </w:rPr>
        <w:t>For breach response and notification purposes, a breach is presumed to have occurred</w:t>
      </w:r>
      <w:r w:rsidR="006A6BA8">
        <w:rPr>
          <w:rFonts w:ascii="Garamond" w:hAnsi="Garamond"/>
          <w:szCs w:val="24"/>
        </w:rPr>
        <w:t xml:space="preserve"> unless</w:t>
      </w:r>
      <w:r>
        <w:rPr>
          <w:rFonts w:ascii="Garamond" w:hAnsi="Garamond"/>
          <w:szCs w:val="24"/>
        </w:rPr>
        <w:t xml:space="preserve"> the Pract</w:t>
      </w:r>
      <w:r w:rsidR="00826CEA">
        <w:rPr>
          <w:rFonts w:ascii="Garamond" w:hAnsi="Garamond"/>
          <w:szCs w:val="24"/>
        </w:rPr>
        <w:t>ice can demonstr</w:t>
      </w:r>
      <w:r>
        <w:rPr>
          <w:rFonts w:ascii="Garamond" w:hAnsi="Garamond"/>
          <w:szCs w:val="24"/>
        </w:rPr>
        <w:t>ate that there is a low probability</w:t>
      </w:r>
      <w:r w:rsidR="00826CEA">
        <w:rPr>
          <w:rFonts w:ascii="Garamond" w:hAnsi="Garamond"/>
          <w:szCs w:val="24"/>
        </w:rPr>
        <w:t xml:space="preserve"> that the PHI </w:t>
      </w:r>
      <w:r w:rsidR="006A6BA8">
        <w:rPr>
          <w:rFonts w:ascii="Garamond" w:hAnsi="Garamond"/>
          <w:szCs w:val="24"/>
        </w:rPr>
        <w:t>h</w:t>
      </w:r>
      <w:r>
        <w:rPr>
          <w:rFonts w:ascii="Garamond" w:hAnsi="Garamond"/>
          <w:szCs w:val="24"/>
        </w:rPr>
        <w:t>as</w:t>
      </w:r>
      <w:r w:rsidR="00826CEA">
        <w:rPr>
          <w:rFonts w:ascii="Garamond" w:hAnsi="Garamond"/>
          <w:szCs w:val="24"/>
        </w:rPr>
        <w:t xml:space="preserve"> been compromised based on, at mini</w:t>
      </w:r>
      <w:r w:rsidR="00E55F6D">
        <w:rPr>
          <w:rFonts w:ascii="Garamond" w:hAnsi="Garamond"/>
          <w:szCs w:val="24"/>
        </w:rPr>
        <w:t>mum, the following risk factors:</w:t>
      </w:r>
    </w:p>
    <w:p w:rsidR="00C77889" w:rsidRDefault="00C77889" w:rsidP="00602629">
      <w:pPr>
        <w:pStyle w:val="ListParagraph"/>
        <w:ind w:left="0"/>
        <w:rPr>
          <w:rFonts w:ascii="Garamond" w:hAnsi="Garamond"/>
          <w:szCs w:val="24"/>
        </w:rPr>
      </w:pPr>
    </w:p>
    <w:p w:rsidR="00826CEA" w:rsidRDefault="004013BA" w:rsidP="00EE0F4D">
      <w:pPr>
        <w:pStyle w:val="ListParagraph"/>
        <w:tabs>
          <w:tab w:val="left" w:pos="720"/>
        </w:tabs>
        <w:rPr>
          <w:rFonts w:ascii="Garamond" w:hAnsi="Garamond"/>
          <w:szCs w:val="24"/>
        </w:rPr>
      </w:pPr>
      <w:r>
        <w:rPr>
          <w:rFonts w:ascii="Garamond" w:hAnsi="Garamond"/>
          <w:szCs w:val="24"/>
        </w:rPr>
        <w:t>3.3.1</w:t>
      </w:r>
      <w:r w:rsidR="00826CEA">
        <w:rPr>
          <w:rFonts w:ascii="Garamond" w:hAnsi="Garamond"/>
          <w:szCs w:val="24"/>
        </w:rPr>
        <w:tab/>
        <w:t>The nature and extent of the PHI involved, including the types of identifiers and the likelihood of re-identification</w:t>
      </w:r>
      <w:r w:rsidR="00EE0F4D">
        <w:rPr>
          <w:rFonts w:ascii="Garamond" w:hAnsi="Garamond"/>
          <w:szCs w:val="24"/>
        </w:rPr>
        <w:t>. Consider:</w:t>
      </w:r>
    </w:p>
    <w:p w:rsidR="00EE0F4D" w:rsidRDefault="00EE0F4D" w:rsidP="00EE0F4D">
      <w:pPr>
        <w:pStyle w:val="ListParagraph"/>
        <w:tabs>
          <w:tab w:val="left" w:pos="720"/>
        </w:tabs>
        <w:rPr>
          <w:rFonts w:ascii="Garamond" w:hAnsi="Garamond"/>
          <w:szCs w:val="24"/>
        </w:rPr>
      </w:pPr>
      <w:r>
        <w:rPr>
          <w:rFonts w:ascii="Garamond" w:hAnsi="Garamond"/>
          <w:szCs w:val="24"/>
        </w:rPr>
        <w:tab/>
        <w:t>3.3.1.1</w:t>
      </w:r>
      <w:r>
        <w:rPr>
          <w:rFonts w:ascii="Garamond" w:hAnsi="Garamond"/>
          <w:szCs w:val="24"/>
        </w:rPr>
        <w:tab/>
        <w:t>Social security numbers, credit cards, financial data</w:t>
      </w:r>
    </w:p>
    <w:p w:rsidR="00EE0F4D" w:rsidRDefault="00EE0F4D" w:rsidP="00EE0F4D">
      <w:pPr>
        <w:pStyle w:val="ListParagraph"/>
        <w:tabs>
          <w:tab w:val="left" w:pos="720"/>
        </w:tabs>
        <w:rPr>
          <w:rFonts w:ascii="Garamond" w:hAnsi="Garamond"/>
          <w:szCs w:val="24"/>
        </w:rPr>
      </w:pPr>
      <w:r>
        <w:rPr>
          <w:rFonts w:ascii="Garamond" w:hAnsi="Garamond"/>
          <w:szCs w:val="24"/>
        </w:rPr>
        <w:tab/>
        <w:t>3.3.1.2</w:t>
      </w:r>
      <w:r>
        <w:rPr>
          <w:rFonts w:ascii="Garamond" w:hAnsi="Garamond"/>
          <w:szCs w:val="24"/>
        </w:rPr>
        <w:tab/>
        <w:t>Clinical detail, diagnosis, treatment, medications</w:t>
      </w:r>
    </w:p>
    <w:p w:rsidR="00EE0F4D" w:rsidRPr="00EE0F4D" w:rsidRDefault="00EE0F4D" w:rsidP="00EE0F4D">
      <w:pPr>
        <w:pStyle w:val="ListParagraph"/>
        <w:tabs>
          <w:tab w:val="left" w:pos="720"/>
        </w:tabs>
        <w:rPr>
          <w:rFonts w:ascii="Garamond" w:hAnsi="Garamond"/>
          <w:szCs w:val="24"/>
        </w:rPr>
      </w:pPr>
      <w:r>
        <w:rPr>
          <w:rFonts w:ascii="Garamond" w:hAnsi="Garamond"/>
          <w:szCs w:val="24"/>
        </w:rPr>
        <w:tab/>
        <w:t>3.3.1.3</w:t>
      </w:r>
      <w:r>
        <w:rPr>
          <w:rFonts w:ascii="Garamond" w:hAnsi="Garamond"/>
          <w:szCs w:val="24"/>
        </w:rPr>
        <w:tab/>
        <w:t>Mental health, substance abuse, sexually transmitted diseases, pregnancy</w:t>
      </w:r>
    </w:p>
    <w:p w:rsidR="00EE0F4D" w:rsidRDefault="004013BA" w:rsidP="00EE0F4D">
      <w:pPr>
        <w:pStyle w:val="ListParagraph"/>
        <w:tabs>
          <w:tab w:val="left" w:pos="720"/>
        </w:tabs>
        <w:rPr>
          <w:rFonts w:ascii="Garamond" w:hAnsi="Garamond"/>
          <w:szCs w:val="24"/>
        </w:rPr>
      </w:pPr>
      <w:r>
        <w:rPr>
          <w:rFonts w:ascii="Garamond" w:hAnsi="Garamond"/>
          <w:szCs w:val="24"/>
        </w:rPr>
        <w:t>3.3.</w:t>
      </w:r>
      <w:r w:rsidR="00826CEA">
        <w:rPr>
          <w:rFonts w:ascii="Garamond" w:hAnsi="Garamond"/>
          <w:szCs w:val="24"/>
        </w:rPr>
        <w:t>2</w:t>
      </w:r>
      <w:r w:rsidR="00826CEA">
        <w:rPr>
          <w:rFonts w:ascii="Garamond" w:hAnsi="Garamond"/>
          <w:szCs w:val="24"/>
        </w:rPr>
        <w:tab/>
        <w:t xml:space="preserve">The unauthorized person who used the PHI or </w:t>
      </w:r>
      <w:r w:rsidR="00EE0F4D">
        <w:rPr>
          <w:rFonts w:ascii="Garamond" w:hAnsi="Garamond"/>
          <w:szCs w:val="24"/>
        </w:rPr>
        <w:t xml:space="preserve">to whom the disclosure was made. </w:t>
      </w:r>
    </w:p>
    <w:p w:rsidR="00EE0F4D" w:rsidRDefault="00EE0F4D" w:rsidP="00EE0F4D">
      <w:pPr>
        <w:pStyle w:val="ListParagraph"/>
        <w:tabs>
          <w:tab w:val="left" w:pos="1440"/>
        </w:tabs>
        <w:ind w:left="1440" w:hanging="720"/>
        <w:rPr>
          <w:rFonts w:ascii="Garamond" w:hAnsi="Garamond"/>
          <w:szCs w:val="24"/>
        </w:rPr>
      </w:pPr>
      <w:r>
        <w:rPr>
          <w:rFonts w:ascii="Garamond" w:hAnsi="Garamond"/>
          <w:szCs w:val="24"/>
        </w:rPr>
        <w:tab/>
        <w:t>3.3.2.1</w:t>
      </w:r>
      <w:r>
        <w:rPr>
          <w:rFonts w:ascii="Garamond" w:hAnsi="Garamond"/>
          <w:szCs w:val="24"/>
        </w:rPr>
        <w:tab/>
        <w:t>Does the unauthorized person have obligations to protect the PHI’s privacy and security?</w:t>
      </w:r>
    </w:p>
    <w:p w:rsidR="00EE0F4D" w:rsidRPr="00EE0F4D" w:rsidRDefault="00EE0F4D" w:rsidP="00EE0F4D">
      <w:pPr>
        <w:pStyle w:val="ListParagraph"/>
        <w:tabs>
          <w:tab w:val="left" w:pos="1440"/>
        </w:tabs>
        <w:ind w:left="1440" w:hanging="720"/>
        <w:rPr>
          <w:rFonts w:ascii="Garamond" w:hAnsi="Garamond"/>
          <w:szCs w:val="24"/>
        </w:rPr>
      </w:pPr>
      <w:r>
        <w:rPr>
          <w:rFonts w:ascii="Garamond" w:hAnsi="Garamond"/>
          <w:szCs w:val="24"/>
        </w:rPr>
        <w:tab/>
        <w:t>3.3.2.2</w:t>
      </w:r>
      <w:r>
        <w:rPr>
          <w:rFonts w:ascii="Garamond" w:hAnsi="Garamond"/>
          <w:szCs w:val="24"/>
        </w:rPr>
        <w:tab/>
        <w:t>Does the unauthorized person have the ability to re-identify the PHI?</w:t>
      </w:r>
    </w:p>
    <w:p w:rsidR="00826CEA" w:rsidRDefault="00826CEA" w:rsidP="00602629">
      <w:pPr>
        <w:pStyle w:val="ListParagraph"/>
        <w:tabs>
          <w:tab w:val="left" w:pos="720"/>
        </w:tabs>
        <w:rPr>
          <w:rFonts w:ascii="Garamond" w:hAnsi="Garamond"/>
          <w:szCs w:val="24"/>
        </w:rPr>
      </w:pPr>
      <w:r>
        <w:rPr>
          <w:rFonts w:ascii="Garamond" w:hAnsi="Garamond"/>
          <w:szCs w:val="24"/>
        </w:rPr>
        <w:t>3.</w:t>
      </w:r>
      <w:r w:rsidR="004013BA">
        <w:rPr>
          <w:rFonts w:ascii="Garamond" w:hAnsi="Garamond"/>
          <w:szCs w:val="24"/>
        </w:rPr>
        <w:t>3.3</w:t>
      </w:r>
      <w:r>
        <w:rPr>
          <w:rFonts w:ascii="Garamond" w:hAnsi="Garamond"/>
          <w:szCs w:val="24"/>
        </w:rPr>
        <w:tab/>
        <w:t>Whether the PHI was actually acquired or viewed</w:t>
      </w:r>
      <w:r w:rsidR="00EE0F4D">
        <w:rPr>
          <w:rFonts w:ascii="Garamond" w:hAnsi="Garamond"/>
          <w:szCs w:val="24"/>
        </w:rPr>
        <w:t>.</w:t>
      </w:r>
    </w:p>
    <w:p w:rsidR="00EE0F4D" w:rsidRDefault="00EE0F4D" w:rsidP="00EE0F4D">
      <w:pPr>
        <w:pStyle w:val="ListParagraph"/>
        <w:tabs>
          <w:tab w:val="left" w:pos="1440"/>
        </w:tabs>
        <w:ind w:left="1440" w:hanging="720"/>
        <w:rPr>
          <w:rFonts w:ascii="Garamond" w:hAnsi="Garamond"/>
          <w:szCs w:val="24"/>
        </w:rPr>
      </w:pPr>
      <w:r>
        <w:rPr>
          <w:rFonts w:ascii="Garamond" w:hAnsi="Garamond"/>
          <w:szCs w:val="24"/>
        </w:rPr>
        <w:lastRenderedPageBreak/>
        <w:tab/>
        <w:t>3.3.3.1</w:t>
      </w:r>
      <w:r>
        <w:rPr>
          <w:rFonts w:ascii="Garamond" w:hAnsi="Garamond"/>
          <w:szCs w:val="24"/>
        </w:rPr>
        <w:tab/>
        <w:t>Does analysis of a stolen and recovered device show that PHI stored on the device was never accessed?</w:t>
      </w:r>
    </w:p>
    <w:p w:rsidR="00826CEA" w:rsidRDefault="004013BA" w:rsidP="00602629">
      <w:pPr>
        <w:pStyle w:val="ListParagraph"/>
        <w:tabs>
          <w:tab w:val="left" w:pos="720"/>
        </w:tabs>
        <w:rPr>
          <w:rFonts w:ascii="Garamond" w:hAnsi="Garamond"/>
          <w:szCs w:val="24"/>
        </w:rPr>
      </w:pPr>
      <w:r>
        <w:rPr>
          <w:rFonts w:ascii="Garamond" w:hAnsi="Garamond"/>
          <w:szCs w:val="24"/>
        </w:rPr>
        <w:t>3.3.</w:t>
      </w:r>
      <w:r w:rsidR="00826CEA">
        <w:rPr>
          <w:rFonts w:ascii="Garamond" w:hAnsi="Garamond"/>
          <w:szCs w:val="24"/>
        </w:rPr>
        <w:t>4</w:t>
      </w:r>
      <w:r w:rsidR="00826CEA">
        <w:rPr>
          <w:rFonts w:ascii="Garamond" w:hAnsi="Garamond"/>
          <w:szCs w:val="24"/>
        </w:rPr>
        <w:tab/>
        <w:t>The extent to which the risk to the PHI has been mitigated.</w:t>
      </w:r>
    </w:p>
    <w:p w:rsidR="00EE0F4D" w:rsidRDefault="00EE0F4D" w:rsidP="00EE0F4D">
      <w:pPr>
        <w:pStyle w:val="ListParagraph"/>
        <w:tabs>
          <w:tab w:val="left" w:pos="1440"/>
        </w:tabs>
        <w:ind w:left="1440" w:hanging="720"/>
        <w:rPr>
          <w:rFonts w:ascii="Garamond" w:hAnsi="Garamond"/>
          <w:szCs w:val="24"/>
        </w:rPr>
      </w:pPr>
      <w:r>
        <w:rPr>
          <w:rFonts w:ascii="Garamond" w:hAnsi="Garamond"/>
          <w:szCs w:val="24"/>
        </w:rPr>
        <w:tab/>
        <w:t>3.3.4.1</w:t>
      </w:r>
      <w:r>
        <w:rPr>
          <w:rFonts w:ascii="Garamond" w:hAnsi="Garamond"/>
          <w:szCs w:val="24"/>
        </w:rPr>
        <w:tab/>
        <w:t xml:space="preserve">Can </w:t>
      </w:r>
      <w:r w:rsidR="00DD1B5A">
        <w:rPr>
          <w:rFonts w:ascii="Garamond" w:hAnsi="Garamond"/>
          <w:szCs w:val="24"/>
        </w:rPr>
        <w:t xml:space="preserve">the Practice obtain </w:t>
      </w:r>
      <w:r>
        <w:rPr>
          <w:rFonts w:ascii="Garamond" w:hAnsi="Garamond"/>
          <w:szCs w:val="24"/>
        </w:rPr>
        <w:t>the unauthorized person’s satisfactory assurances that the PHI will not be further used or disclosed or will be destroyed?</w:t>
      </w:r>
      <w:r>
        <w:rPr>
          <w:rFonts w:ascii="Garamond" w:hAnsi="Garamond"/>
          <w:szCs w:val="24"/>
        </w:rPr>
        <w:tab/>
      </w:r>
    </w:p>
    <w:p w:rsidR="00826CEA" w:rsidRPr="006054FE" w:rsidRDefault="00826CEA" w:rsidP="00602629">
      <w:pPr>
        <w:pStyle w:val="ListParagraph"/>
        <w:tabs>
          <w:tab w:val="left" w:pos="720"/>
        </w:tabs>
        <w:rPr>
          <w:rFonts w:ascii="Garamond" w:hAnsi="Garamond"/>
          <w:szCs w:val="24"/>
        </w:rPr>
      </w:pPr>
    </w:p>
    <w:p w:rsidR="00E55F6D" w:rsidRDefault="00E55F6D" w:rsidP="00B635BD">
      <w:pPr>
        <w:rPr>
          <w:rFonts w:ascii="Garamond" w:hAnsi="Garamond"/>
          <w:szCs w:val="24"/>
        </w:rPr>
      </w:pPr>
      <w:r>
        <w:rPr>
          <w:rFonts w:ascii="Garamond" w:hAnsi="Garamond"/>
          <w:szCs w:val="24"/>
        </w:rPr>
        <w:t xml:space="preserve">The evaluation should consider these factors, or more, in combination to determine the overall probability that PHI has been compromised. The risk assessment should be thorough and completed in good faith, and the conclusions should be reasonable. </w:t>
      </w:r>
    </w:p>
    <w:p w:rsidR="00E55F6D" w:rsidRDefault="00E55F6D" w:rsidP="00B635BD">
      <w:pPr>
        <w:rPr>
          <w:rFonts w:ascii="Garamond" w:hAnsi="Garamond"/>
          <w:szCs w:val="24"/>
        </w:rPr>
      </w:pPr>
    </w:p>
    <w:p w:rsidR="00B635BD" w:rsidRPr="00B635BD" w:rsidRDefault="00B635BD" w:rsidP="00B635BD">
      <w:pPr>
        <w:rPr>
          <w:rFonts w:ascii="Garamond" w:hAnsi="Garamond"/>
          <w:b/>
          <w:szCs w:val="24"/>
        </w:rPr>
      </w:pPr>
      <w:r w:rsidRPr="00B635BD">
        <w:rPr>
          <w:rFonts w:ascii="Garamond" w:hAnsi="Garamond"/>
          <w:szCs w:val="24"/>
        </w:rPr>
        <w:t xml:space="preserve">Based on the outcome of the risk assessment, the Practice will determine the need to move forward with breach notification. </w:t>
      </w:r>
      <w:r w:rsidR="00161EBF" w:rsidRPr="006054FE">
        <w:rPr>
          <w:rFonts w:ascii="Garamond" w:hAnsi="Garamond"/>
          <w:szCs w:val="24"/>
        </w:rPr>
        <w:t xml:space="preserve">The </w:t>
      </w:r>
      <w:r w:rsidR="004013BA">
        <w:rPr>
          <w:rFonts w:ascii="Garamond" w:hAnsi="Garamond"/>
          <w:szCs w:val="24"/>
        </w:rPr>
        <w:t>investigator must</w:t>
      </w:r>
      <w:r w:rsidR="00161EBF" w:rsidRPr="006054FE">
        <w:rPr>
          <w:rFonts w:ascii="Garamond" w:hAnsi="Garamond"/>
          <w:szCs w:val="24"/>
        </w:rPr>
        <w:t xml:space="preserve"> document the risk assessment </w:t>
      </w:r>
      <w:r w:rsidR="0017516F" w:rsidRPr="006054FE">
        <w:rPr>
          <w:rFonts w:ascii="Garamond" w:hAnsi="Garamond"/>
          <w:szCs w:val="24"/>
        </w:rPr>
        <w:t xml:space="preserve">and </w:t>
      </w:r>
      <w:r w:rsidR="00161EBF" w:rsidRPr="006054FE">
        <w:rPr>
          <w:rFonts w:ascii="Garamond" w:hAnsi="Garamond"/>
          <w:szCs w:val="24"/>
        </w:rPr>
        <w:t>the outcome o</w:t>
      </w:r>
      <w:r w:rsidR="0017516F" w:rsidRPr="006054FE">
        <w:rPr>
          <w:rFonts w:ascii="Garamond" w:hAnsi="Garamond"/>
          <w:szCs w:val="24"/>
        </w:rPr>
        <w:t>f the risk assessment</w:t>
      </w:r>
      <w:r w:rsidR="0017516F">
        <w:rPr>
          <w:rFonts w:ascii="Garamond" w:hAnsi="Garamond"/>
          <w:szCs w:val="24"/>
        </w:rPr>
        <w:t xml:space="preserve"> process. </w:t>
      </w:r>
      <w:r w:rsidRPr="00161EBF">
        <w:rPr>
          <w:rFonts w:ascii="Garamond" w:hAnsi="Garamond"/>
          <w:szCs w:val="24"/>
        </w:rPr>
        <w:t xml:space="preserve">All documentation related to the breach investigation, including the risk assessment, </w:t>
      </w:r>
      <w:r w:rsidR="00464AF5">
        <w:rPr>
          <w:rFonts w:ascii="Garamond" w:hAnsi="Garamond"/>
          <w:szCs w:val="24"/>
        </w:rPr>
        <w:t>must</w:t>
      </w:r>
      <w:r w:rsidRPr="00161EBF">
        <w:rPr>
          <w:rFonts w:ascii="Garamond" w:hAnsi="Garamond"/>
          <w:szCs w:val="24"/>
        </w:rPr>
        <w:t xml:space="preserve"> be retained for a minimum of six years.</w:t>
      </w:r>
    </w:p>
    <w:p w:rsidR="00E55F6D" w:rsidRPr="00E55F6D" w:rsidRDefault="00E55F6D" w:rsidP="00602629">
      <w:pPr>
        <w:tabs>
          <w:tab w:val="left" w:pos="0"/>
        </w:tabs>
        <w:overflowPunct/>
        <w:autoSpaceDE/>
        <w:autoSpaceDN/>
        <w:adjustRightInd/>
        <w:textAlignment w:val="auto"/>
        <w:rPr>
          <w:rFonts w:ascii="Garamond" w:hAnsi="Garamond"/>
          <w:szCs w:val="24"/>
        </w:rPr>
      </w:pPr>
    </w:p>
    <w:p w:rsidR="004013BA" w:rsidRDefault="004013BA" w:rsidP="00602629">
      <w:pPr>
        <w:tabs>
          <w:tab w:val="left" w:pos="0"/>
        </w:tabs>
        <w:overflowPunct/>
        <w:autoSpaceDE/>
        <w:autoSpaceDN/>
        <w:adjustRightInd/>
        <w:textAlignment w:val="auto"/>
        <w:rPr>
          <w:rFonts w:ascii="Garamond" w:hAnsi="Garamond"/>
          <w:szCs w:val="24"/>
        </w:rPr>
      </w:pPr>
      <w:r w:rsidRPr="004013BA">
        <w:rPr>
          <w:rFonts w:ascii="Garamond" w:hAnsi="Garamond"/>
          <w:b/>
          <w:szCs w:val="24"/>
        </w:rPr>
        <w:t>3.4</w:t>
      </w:r>
      <w:r w:rsidRPr="004013BA">
        <w:rPr>
          <w:rFonts w:ascii="Garamond" w:hAnsi="Garamond"/>
          <w:b/>
          <w:szCs w:val="24"/>
        </w:rPr>
        <w:tab/>
      </w:r>
      <w:r w:rsidR="00C77889" w:rsidRPr="004013BA">
        <w:rPr>
          <w:rFonts w:ascii="Garamond" w:hAnsi="Garamond"/>
          <w:b/>
          <w:szCs w:val="24"/>
          <w:u w:val="single"/>
        </w:rPr>
        <w:t>Notification</w:t>
      </w:r>
      <w:r w:rsidRPr="004013BA">
        <w:rPr>
          <w:rFonts w:ascii="Garamond" w:hAnsi="Garamond"/>
          <w:b/>
          <w:szCs w:val="24"/>
          <w:u w:val="single"/>
        </w:rPr>
        <w:t xml:space="preserve">: </w:t>
      </w:r>
      <w:r w:rsidR="00C77889" w:rsidRPr="004013BA">
        <w:rPr>
          <w:rFonts w:ascii="Garamond" w:hAnsi="Garamond"/>
          <w:b/>
          <w:szCs w:val="24"/>
          <w:u w:val="single"/>
        </w:rPr>
        <w:t>Individuals Affected</w:t>
      </w:r>
      <w:r>
        <w:rPr>
          <w:rFonts w:ascii="Garamond" w:hAnsi="Garamond"/>
          <w:szCs w:val="24"/>
        </w:rPr>
        <w:t xml:space="preserve">. </w:t>
      </w:r>
      <w:r w:rsidR="00C77889" w:rsidRPr="000F485C">
        <w:rPr>
          <w:rFonts w:ascii="Garamond" w:hAnsi="Garamond"/>
          <w:szCs w:val="24"/>
        </w:rPr>
        <w:t>If it is determined that breach notification must be sent</w:t>
      </w:r>
      <w:r>
        <w:rPr>
          <w:rFonts w:ascii="Garamond" w:hAnsi="Garamond"/>
          <w:szCs w:val="24"/>
        </w:rPr>
        <w:t xml:space="preserve"> to affected individuals</w:t>
      </w:r>
      <w:r w:rsidR="00C77889" w:rsidRPr="000F485C">
        <w:rPr>
          <w:rFonts w:ascii="Garamond" w:hAnsi="Garamond"/>
          <w:szCs w:val="24"/>
        </w:rPr>
        <w:t>, the Practice's standard breach notification letter (as modified for the specific breach) will be sent o</w:t>
      </w:r>
      <w:r w:rsidR="00E55F6D">
        <w:rPr>
          <w:rFonts w:ascii="Garamond" w:hAnsi="Garamond"/>
          <w:szCs w:val="24"/>
        </w:rPr>
        <w:t xml:space="preserve">ut to all affected individuals. The Practice also has the discretion to provide notification following an impermissible use or disclosure of PHI without performing a risk assessment, if </w:t>
      </w:r>
      <w:r w:rsidR="00DD1B5A">
        <w:rPr>
          <w:rFonts w:ascii="Garamond" w:hAnsi="Garamond"/>
          <w:szCs w:val="24"/>
        </w:rPr>
        <w:t>the Practice</w:t>
      </w:r>
      <w:r w:rsidR="00E55F6D">
        <w:rPr>
          <w:rFonts w:ascii="Garamond" w:hAnsi="Garamond"/>
          <w:szCs w:val="24"/>
        </w:rPr>
        <w:t xml:space="preserve"> so choose</w:t>
      </w:r>
      <w:r w:rsidR="00DD1B5A">
        <w:rPr>
          <w:rFonts w:ascii="Garamond" w:hAnsi="Garamond"/>
          <w:szCs w:val="24"/>
        </w:rPr>
        <w:t>s</w:t>
      </w:r>
      <w:r w:rsidR="00E55F6D">
        <w:rPr>
          <w:rFonts w:ascii="Garamond" w:hAnsi="Garamond"/>
          <w:szCs w:val="24"/>
        </w:rPr>
        <w:t xml:space="preserve">. </w:t>
      </w:r>
      <w:r>
        <w:rPr>
          <w:rFonts w:ascii="Garamond" w:hAnsi="Garamond"/>
          <w:szCs w:val="24"/>
        </w:rPr>
        <w:t>N</w:t>
      </w:r>
      <w:r w:rsidRPr="00161EBF">
        <w:rPr>
          <w:rFonts w:ascii="Garamond" w:hAnsi="Garamond"/>
          <w:szCs w:val="24"/>
        </w:rPr>
        <w:t xml:space="preserve">otice </w:t>
      </w:r>
      <w:r>
        <w:rPr>
          <w:rFonts w:ascii="Garamond" w:hAnsi="Garamond"/>
          <w:szCs w:val="24"/>
        </w:rPr>
        <w:t xml:space="preserve">to affected individuals </w:t>
      </w:r>
      <w:r w:rsidRPr="00161EBF">
        <w:rPr>
          <w:rFonts w:ascii="Garamond" w:hAnsi="Garamond"/>
          <w:szCs w:val="24"/>
        </w:rPr>
        <w:t>shall be written in plain language and must contain the following information</w:t>
      </w:r>
      <w:r>
        <w:rPr>
          <w:rFonts w:ascii="Garamond" w:hAnsi="Garamond"/>
          <w:szCs w:val="24"/>
        </w:rPr>
        <w:t>, which elements are included in the Practice’s standard breach notification letter</w:t>
      </w:r>
      <w:r w:rsidRPr="00161EBF">
        <w:rPr>
          <w:rFonts w:ascii="Garamond" w:hAnsi="Garamond"/>
          <w:szCs w:val="24"/>
        </w:rPr>
        <w:t>:</w:t>
      </w:r>
    </w:p>
    <w:p w:rsidR="00602629" w:rsidRPr="00161EBF" w:rsidRDefault="00602629" w:rsidP="00602629">
      <w:pPr>
        <w:tabs>
          <w:tab w:val="left" w:pos="0"/>
        </w:tabs>
        <w:overflowPunct/>
        <w:autoSpaceDE/>
        <w:autoSpaceDN/>
        <w:adjustRightInd/>
        <w:textAlignment w:val="auto"/>
        <w:rPr>
          <w:rFonts w:ascii="Garamond" w:hAnsi="Garamond"/>
          <w:szCs w:val="24"/>
        </w:rPr>
      </w:pPr>
    </w:p>
    <w:p w:rsidR="004013BA" w:rsidRPr="004013BA" w:rsidRDefault="004013BA" w:rsidP="00602629">
      <w:pPr>
        <w:pStyle w:val="ListParagraph"/>
        <w:numPr>
          <w:ilvl w:val="2"/>
          <w:numId w:val="22"/>
        </w:numPr>
        <w:overflowPunct/>
        <w:autoSpaceDE/>
        <w:autoSpaceDN/>
        <w:adjustRightInd/>
        <w:ind w:left="720" w:firstLine="0"/>
        <w:textAlignment w:val="auto"/>
        <w:rPr>
          <w:rFonts w:ascii="Garamond" w:hAnsi="Garamond"/>
          <w:szCs w:val="24"/>
        </w:rPr>
      </w:pPr>
      <w:r w:rsidRPr="004013BA">
        <w:rPr>
          <w:rFonts w:ascii="Garamond" w:hAnsi="Garamond"/>
          <w:szCs w:val="24"/>
        </w:rPr>
        <w:t>A brief description of what happened, including the date of the breach and the date of the discovery of the breach, if known.</w:t>
      </w:r>
    </w:p>
    <w:p w:rsidR="004013BA" w:rsidRPr="004013BA" w:rsidRDefault="004013BA" w:rsidP="00602629">
      <w:pPr>
        <w:pStyle w:val="ListParagraph"/>
        <w:numPr>
          <w:ilvl w:val="2"/>
          <w:numId w:val="22"/>
        </w:numPr>
        <w:overflowPunct/>
        <w:autoSpaceDE/>
        <w:autoSpaceDN/>
        <w:adjustRightInd/>
        <w:ind w:left="720" w:firstLine="0"/>
        <w:textAlignment w:val="auto"/>
        <w:rPr>
          <w:rFonts w:ascii="Garamond" w:hAnsi="Garamond"/>
          <w:szCs w:val="24"/>
        </w:rPr>
      </w:pPr>
      <w:r w:rsidRPr="004013BA">
        <w:rPr>
          <w:rFonts w:ascii="Garamond" w:hAnsi="Garamond"/>
          <w:szCs w:val="24"/>
        </w:rPr>
        <w:t>A description of the types of unsecured protected health information that were involved in the breach (su</w:t>
      </w:r>
      <w:r w:rsidR="00464AF5">
        <w:rPr>
          <w:rFonts w:ascii="Garamond" w:hAnsi="Garamond"/>
          <w:szCs w:val="24"/>
        </w:rPr>
        <w:t>ch as whether full name, social s</w:t>
      </w:r>
      <w:r w:rsidRPr="004013BA">
        <w:rPr>
          <w:rFonts w:ascii="Garamond" w:hAnsi="Garamond"/>
          <w:szCs w:val="24"/>
        </w:rPr>
        <w:t>ecurity number, date of birth, home address, account number, diagnosis, disability code</w:t>
      </w:r>
      <w:r w:rsidR="00464AF5">
        <w:rPr>
          <w:rFonts w:ascii="Garamond" w:hAnsi="Garamond"/>
          <w:szCs w:val="24"/>
        </w:rPr>
        <w:t>,</w:t>
      </w:r>
      <w:r w:rsidRPr="004013BA">
        <w:rPr>
          <w:rFonts w:ascii="Garamond" w:hAnsi="Garamond"/>
          <w:szCs w:val="24"/>
        </w:rPr>
        <w:t xml:space="preserve"> or other types of information were involved).</w:t>
      </w:r>
    </w:p>
    <w:p w:rsidR="004013BA" w:rsidRPr="004013BA" w:rsidRDefault="004013BA" w:rsidP="00602629">
      <w:pPr>
        <w:pStyle w:val="ListParagraph"/>
        <w:numPr>
          <w:ilvl w:val="2"/>
          <w:numId w:val="22"/>
        </w:numPr>
        <w:overflowPunct/>
        <w:autoSpaceDE/>
        <w:autoSpaceDN/>
        <w:adjustRightInd/>
        <w:ind w:left="720" w:firstLine="0"/>
        <w:textAlignment w:val="auto"/>
        <w:rPr>
          <w:rFonts w:ascii="Garamond" w:hAnsi="Garamond"/>
          <w:szCs w:val="24"/>
        </w:rPr>
      </w:pPr>
      <w:r w:rsidRPr="004013BA">
        <w:rPr>
          <w:rFonts w:ascii="Garamond" w:hAnsi="Garamond"/>
          <w:szCs w:val="24"/>
        </w:rPr>
        <w:t>Any steps the individual</w:t>
      </w:r>
      <w:r w:rsidR="00464AF5">
        <w:rPr>
          <w:rFonts w:ascii="Garamond" w:hAnsi="Garamond"/>
          <w:szCs w:val="24"/>
        </w:rPr>
        <w:t>s</w:t>
      </w:r>
      <w:r w:rsidRPr="004013BA">
        <w:rPr>
          <w:rFonts w:ascii="Garamond" w:hAnsi="Garamond"/>
          <w:szCs w:val="24"/>
        </w:rPr>
        <w:t xml:space="preserve"> should take to protect themselves from potential harm resulting from the breach.</w:t>
      </w:r>
    </w:p>
    <w:p w:rsidR="004013BA" w:rsidRPr="004013BA" w:rsidRDefault="004013BA" w:rsidP="00602629">
      <w:pPr>
        <w:pStyle w:val="ListParagraph"/>
        <w:numPr>
          <w:ilvl w:val="2"/>
          <w:numId w:val="22"/>
        </w:numPr>
        <w:overflowPunct/>
        <w:autoSpaceDE/>
        <w:autoSpaceDN/>
        <w:adjustRightInd/>
        <w:ind w:left="720" w:firstLine="0"/>
        <w:textAlignment w:val="auto"/>
        <w:rPr>
          <w:rFonts w:ascii="Garamond" w:hAnsi="Garamond"/>
          <w:szCs w:val="24"/>
        </w:rPr>
      </w:pPr>
      <w:r w:rsidRPr="004013BA">
        <w:rPr>
          <w:rFonts w:ascii="Garamond" w:hAnsi="Garamond"/>
          <w:szCs w:val="24"/>
        </w:rPr>
        <w:t>A brief description of what the Practice is doing to investigate the breach, to mitigate harm to individuals, and to protect against further breaches.</w:t>
      </w:r>
    </w:p>
    <w:p w:rsidR="004013BA" w:rsidRPr="004013BA" w:rsidRDefault="004013BA" w:rsidP="00602629">
      <w:pPr>
        <w:pStyle w:val="ListParagraph"/>
        <w:numPr>
          <w:ilvl w:val="2"/>
          <w:numId w:val="22"/>
        </w:numPr>
        <w:overflowPunct/>
        <w:autoSpaceDE/>
        <w:autoSpaceDN/>
        <w:adjustRightInd/>
        <w:ind w:left="720" w:firstLine="0"/>
        <w:textAlignment w:val="auto"/>
        <w:rPr>
          <w:rFonts w:ascii="Garamond" w:hAnsi="Garamond"/>
          <w:szCs w:val="24"/>
        </w:rPr>
      </w:pPr>
      <w:r w:rsidRPr="004013BA">
        <w:rPr>
          <w:rFonts w:ascii="Garamond" w:hAnsi="Garamond"/>
          <w:szCs w:val="24"/>
        </w:rPr>
        <w:t>Contact procedures for individuals to ask questions or learn additional information, which includes a</w:t>
      </w:r>
      <w:r w:rsidR="00464AF5">
        <w:rPr>
          <w:rFonts w:ascii="Garamond" w:hAnsi="Garamond"/>
          <w:szCs w:val="24"/>
        </w:rPr>
        <w:t xml:space="preserve"> toll-free telephone number, </w:t>
      </w:r>
      <w:r w:rsidRPr="004013BA">
        <w:rPr>
          <w:rFonts w:ascii="Garamond" w:hAnsi="Garamond"/>
          <w:szCs w:val="24"/>
        </w:rPr>
        <w:t>email address, website, or postal address.</w:t>
      </w:r>
    </w:p>
    <w:p w:rsidR="00551F7B" w:rsidRDefault="00551F7B" w:rsidP="00602629">
      <w:pPr>
        <w:tabs>
          <w:tab w:val="num" w:pos="2340"/>
        </w:tabs>
        <w:overflowPunct/>
        <w:autoSpaceDE/>
        <w:autoSpaceDN/>
        <w:adjustRightInd/>
        <w:ind w:left="720"/>
        <w:textAlignment w:val="auto"/>
        <w:rPr>
          <w:rFonts w:ascii="Garamond" w:hAnsi="Garamond"/>
          <w:szCs w:val="24"/>
        </w:rPr>
      </w:pPr>
    </w:p>
    <w:p w:rsidR="00986F14" w:rsidRPr="00161EBF" w:rsidRDefault="00741834" w:rsidP="00C247AA">
      <w:pPr>
        <w:tabs>
          <w:tab w:val="num" w:pos="2340"/>
        </w:tabs>
        <w:overflowPunct/>
        <w:autoSpaceDE/>
        <w:autoSpaceDN/>
        <w:adjustRightInd/>
        <w:textAlignment w:val="auto"/>
        <w:rPr>
          <w:rFonts w:ascii="Garamond" w:hAnsi="Garamond"/>
          <w:szCs w:val="24"/>
        </w:rPr>
      </w:pPr>
      <w:r w:rsidRPr="000F485C">
        <w:rPr>
          <w:rFonts w:ascii="Garamond" w:hAnsi="Garamond"/>
          <w:szCs w:val="24"/>
        </w:rPr>
        <w:t xml:space="preserve">This letter will be sent </w:t>
      </w:r>
      <w:r w:rsidR="00986F14" w:rsidRPr="000F485C">
        <w:rPr>
          <w:rFonts w:ascii="Garamond" w:hAnsi="Garamond"/>
          <w:szCs w:val="24"/>
        </w:rPr>
        <w:t>by first-class mail to the individual at the last known address of the individual or, if the</w:t>
      </w:r>
      <w:r w:rsidR="00986F14" w:rsidRPr="00161EBF">
        <w:rPr>
          <w:rFonts w:ascii="Garamond" w:hAnsi="Garamond"/>
          <w:szCs w:val="24"/>
        </w:rPr>
        <w:t xml:space="preserve"> individual agrees to electronic notice and such agreement has not been withdrawn, by electronic mail. The notification shall be provided in one or more mailin</w:t>
      </w:r>
      <w:r w:rsidR="00986F14">
        <w:rPr>
          <w:rFonts w:ascii="Garamond" w:hAnsi="Garamond"/>
          <w:szCs w:val="24"/>
        </w:rPr>
        <w:t>gs as information is available.</w:t>
      </w:r>
      <w:r w:rsidR="00986F14" w:rsidRPr="00161EBF">
        <w:rPr>
          <w:rFonts w:ascii="Garamond" w:hAnsi="Garamond"/>
          <w:szCs w:val="24"/>
        </w:rPr>
        <w:t xml:space="preserve"> If the </w:t>
      </w:r>
      <w:r w:rsidR="00CA053A">
        <w:rPr>
          <w:rFonts w:ascii="Garamond" w:hAnsi="Garamond"/>
          <w:szCs w:val="24"/>
        </w:rPr>
        <w:t>Practice</w:t>
      </w:r>
      <w:r w:rsidR="00986F14" w:rsidRPr="00161EBF">
        <w:rPr>
          <w:rFonts w:ascii="Garamond" w:hAnsi="Garamond"/>
          <w:szCs w:val="24"/>
        </w:rPr>
        <w:t xml:space="preserve"> knows that the individual is deceased and has the address of the next of kin or personal representative of the individual, written notification by first-class mail to the next of kin or person representative shall be carried out.</w:t>
      </w:r>
    </w:p>
    <w:p w:rsidR="00551F7B" w:rsidRDefault="00551F7B" w:rsidP="00C247AA">
      <w:pPr>
        <w:overflowPunct/>
        <w:autoSpaceDE/>
        <w:autoSpaceDN/>
        <w:adjustRightInd/>
        <w:textAlignment w:val="auto"/>
        <w:rPr>
          <w:rFonts w:ascii="Garamond" w:hAnsi="Garamond"/>
          <w:szCs w:val="24"/>
        </w:rPr>
      </w:pPr>
    </w:p>
    <w:p w:rsidR="00986F14" w:rsidRPr="00161EBF" w:rsidRDefault="00C247AA" w:rsidP="00C247AA">
      <w:pPr>
        <w:overflowPunct/>
        <w:autoSpaceDE/>
        <w:autoSpaceDN/>
        <w:adjustRightInd/>
        <w:textAlignment w:val="auto"/>
        <w:rPr>
          <w:rFonts w:ascii="Garamond" w:hAnsi="Garamond"/>
          <w:szCs w:val="24"/>
        </w:rPr>
      </w:pPr>
      <w:r>
        <w:rPr>
          <w:rFonts w:ascii="Garamond" w:hAnsi="Garamond"/>
          <w:szCs w:val="24"/>
        </w:rPr>
        <w:t>If</w:t>
      </w:r>
      <w:r w:rsidR="00986F14" w:rsidRPr="00161EBF">
        <w:rPr>
          <w:rFonts w:ascii="Garamond" w:hAnsi="Garamond"/>
          <w:szCs w:val="24"/>
        </w:rPr>
        <w:t xml:space="preserve"> there is insufficient or out-of-date contact information</w:t>
      </w:r>
      <w:r w:rsidR="00741834">
        <w:rPr>
          <w:rFonts w:ascii="Garamond" w:hAnsi="Garamond"/>
          <w:szCs w:val="24"/>
        </w:rPr>
        <w:t xml:space="preserve"> </w:t>
      </w:r>
      <w:r w:rsidR="00986F14" w:rsidRPr="00161EBF">
        <w:rPr>
          <w:rFonts w:ascii="Garamond" w:hAnsi="Garamond"/>
          <w:szCs w:val="24"/>
        </w:rPr>
        <w:t>that precludes direct written or electronic notification, a substitute form of notice reasonably calculated to reach the</w:t>
      </w:r>
      <w:r w:rsidR="00986F14">
        <w:rPr>
          <w:rFonts w:ascii="Garamond" w:hAnsi="Garamond"/>
          <w:szCs w:val="24"/>
        </w:rPr>
        <w:t xml:space="preserve"> individual shall be provided</w:t>
      </w:r>
      <w:r w:rsidR="00741834">
        <w:rPr>
          <w:rFonts w:ascii="Garamond" w:hAnsi="Garamond"/>
          <w:szCs w:val="24"/>
        </w:rPr>
        <w:t xml:space="preserve">. </w:t>
      </w:r>
      <w:r>
        <w:rPr>
          <w:rFonts w:ascii="Garamond" w:hAnsi="Garamond"/>
          <w:szCs w:val="24"/>
        </w:rPr>
        <w:t>If</w:t>
      </w:r>
      <w:r w:rsidR="00986F14" w:rsidRPr="00161EBF">
        <w:rPr>
          <w:rFonts w:ascii="Garamond" w:hAnsi="Garamond"/>
          <w:szCs w:val="24"/>
        </w:rPr>
        <w:t xml:space="preserve"> there is insufficient or out-of-date contact information for fewer than 10 individuals, then the substitute notice may be provided by an alternative form of written notice, </w:t>
      </w:r>
      <w:r>
        <w:rPr>
          <w:rFonts w:ascii="Garamond" w:hAnsi="Garamond"/>
          <w:szCs w:val="24"/>
        </w:rPr>
        <w:t xml:space="preserve">by </w:t>
      </w:r>
      <w:r w:rsidR="00986F14" w:rsidRPr="00161EBF">
        <w:rPr>
          <w:rFonts w:ascii="Garamond" w:hAnsi="Garamond"/>
          <w:szCs w:val="24"/>
        </w:rPr>
        <w:t xml:space="preserve">telephone, or </w:t>
      </w:r>
      <w:r>
        <w:rPr>
          <w:rFonts w:ascii="Garamond" w:hAnsi="Garamond"/>
          <w:szCs w:val="24"/>
        </w:rPr>
        <w:t xml:space="preserve">by </w:t>
      </w:r>
      <w:r w:rsidR="00986F14" w:rsidRPr="00161EBF">
        <w:rPr>
          <w:rFonts w:ascii="Garamond" w:hAnsi="Garamond"/>
          <w:szCs w:val="24"/>
        </w:rPr>
        <w:t>other means.</w:t>
      </w:r>
      <w:r w:rsidR="00741834">
        <w:rPr>
          <w:rFonts w:ascii="Garamond" w:hAnsi="Garamond"/>
          <w:szCs w:val="24"/>
        </w:rPr>
        <w:t xml:space="preserve"> </w:t>
      </w:r>
      <w:r>
        <w:rPr>
          <w:rFonts w:ascii="Garamond" w:hAnsi="Garamond"/>
          <w:szCs w:val="24"/>
        </w:rPr>
        <w:t>If</w:t>
      </w:r>
      <w:r w:rsidR="00986F14" w:rsidRPr="00161EBF">
        <w:rPr>
          <w:rFonts w:ascii="Garamond" w:hAnsi="Garamond"/>
          <w:szCs w:val="24"/>
        </w:rPr>
        <w:t xml:space="preserve"> there is insufficient or out-of-date contact information for 10 or more </w:t>
      </w:r>
      <w:r w:rsidR="00986F14" w:rsidRPr="00161EBF">
        <w:rPr>
          <w:rFonts w:ascii="Garamond" w:hAnsi="Garamond"/>
          <w:szCs w:val="24"/>
        </w:rPr>
        <w:lastRenderedPageBreak/>
        <w:t xml:space="preserve">individuals, then the substitute notice shall be in the form of either a conspicuous posting for a period of 90 days on the home page of the </w:t>
      </w:r>
      <w:r w:rsidR="00CA053A">
        <w:rPr>
          <w:rFonts w:ascii="Garamond" w:hAnsi="Garamond"/>
          <w:szCs w:val="24"/>
        </w:rPr>
        <w:t>Practice</w:t>
      </w:r>
      <w:r w:rsidR="00986F14" w:rsidRPr="00161EBF">
        <w:rPr>
          <w:rFonts w:ascii="Garamond" w:hAnsi="Garamond"/>
          <w:szCs w:val="24"/>
        </w:rPr>
        <w:t>’s websit</w:t>
      </w:r>
      <w:r w:rsidR="00464AF5">
        <w:rPr>
          <w:rFonts w:ascii="Garamond" w:hAnsi="Garamond"/>
          <w:szCs w:val="24"/>
        </w:rPr>
        <w:t xml:space="preserve">e, or a conspicuous notice in </w:t>
      </w:r>
      <w:r w:rsidR="00986F14" w:rsidRPr="00161EBF">
        <w:rPr>
          <w:rFonts w:ascii="Garamond" w:hAnsi="Garamond"/>
          <w:szCs w:val="24"/>
        </w:rPr>
        <w:t xml:space="preserve">major print or broadcast media in the </w:t>
      </w:r>
      <w:r w:rsidR="00CA053A">
        <w:rPr>
          <w:rFonts w:ascii="Garamond" w:hAnsi="Garamond"/>
          <w:szCs w:val="24"/>
        </w:rPr>
        <w:t>Practice</w:t>
      </w:r>
      <w:r w:rsidR="00986F14" w:rsidRPr="00161EBF">
        <w:rPr>
          <w:rFonts w:ascii="Garamond" w:hAnsi="Garamond"/>
          <w:szCs w:val="24"/>
        </w:rPr>
        <w:t>’s geographic areas where the individuals affect</w:t>
      </w:r>
      <w:r w:rsidR="00986F14">
        <w:rPr>
          <w:rFonts w:ascii="Garamond" w:hAnsi="Garamond"/>
          <w:szCs w:val="24"/>
        </w:rPr>
        <w:t>ed by the breach likely reside.</w:t>
      </w:r>
      <w:r w:rsidR="00986F14" w:rsidRPr="00161EBF">
        <w:rPr>
          <w:rFonts w:ascii="Garamond" w:hAnsi="Garamond"/>
          <w:szCs w:val="24"/>
        </w:rPr>
        <w:t xml:space="preserve"> The notice shall include a toll-free number that remains active </w:t>
      </w:r>
      <w:r w:rsidR="00986F14">
        <w:rPr>
          <w:rFonts w:ascii="Garamond" w:hAnsi="Garamond"/>
          <w:szCs w:val="24"/>
        </w:rPr>
        <w:t>f</w:t>
      </w:r>
      <w:r w:rsidR="00986F14" w:rsidRPr="00161EBF">
        <w:rPr>
          <w:rFonts w:ascii="Garamond" w:hAnsi="Garamond"/>
          <w:szCs w:val="24"/>
        </w:rPr>
        <w:t>or at least 90 days where an individual can learn whether his or her PHI may be included in the breach.</w:t>
      </w:r>
    </w:p>
    <w:p w:rsidR="00741834" w:rsidRDefault="00741834" w:rsidP="00C247AA">
      <w:pPr>
        <w:overflowPunct/>
        <w:autoSpaceDE/>
        <w:autoSpaceDN/>
        <w:adjustRightInd/>
        <w:textAlignment w:val="auto"/>
        <w:rPr>
          <w:rFonts w:ascii="Garamond" w:hAnsi="Garamond"/>
          <w:szCs w:val="24"/>
        </w:rPr>
      </w:pPr>
    </w:p>
    <w:p w:rsidR="00C247AA" w:rsidRPr="00161EBF" w:rsidRDefault="00C247AA" w:rsidP="00C247AA">
      <w:pPr>
        <w:overflowPunct/>
        <w:autoSpaceDE/>
        <w:autoSpaceDN/>
        <w:adjustRightInd/>
        <w:textAlignment w:val="auto"/>
        <w:rPr>
          <w:rFonts w:ascii="Garamond" w:hAnsi="Garamond"/>
          <w:szCs w:val="24"/>
        </w:rPr>
      </w:pPr>
      <w:r>
        <w:rPr>
          <w:rFonts w:ascii="Garamond" w:hAnsi="Garamond"/>
          <w:szCs w:val="24"/>
        </w:rPr>
        <w:t>Notice</w:t>
      </w:r>
      <w:r w:rsidRPr="00161EBF">
        <w:rPr>
          <w:rFonts w:ascii="Garamond" w:hAnsi="Garamond"/>
          <w:szCs w:val="24"/>
        </w:rPr>
        <w:t xml:space="preserve"> </w:t>
      </w:r>
      <w:r>
        <w:rPr>
          <w:rFonts w:ascii="Garamond" w:hAnsi="Garamond"/>
          <w:szCs w:val="24"/>
        </w:rPr>
        <w:t>to affected individuals sha</w:t>
      </w:r>
      <w:r w:rsidRPr="00161EBF">
        <w:rPr>
          <w:rFonts w:ascii="Garamond" w:hAnsi="Garamond"/>
          <w:szCs w:val="24"/>
        </w:rPr>
        <w:t>ll be made without unreasonable delay and in no case later than 60 calendar days after the discovery of the breach</w:t>
      </w:r>
      <w:r>
        <w:rPr>
          <w:rFonts w:ascii="Garamond" w:hAnsi="Garamond"/>
          <w:szCs w:val="24"/>
        </w:rPr>
        <w:t>.</w:t>
      </w:r>
      <w:r w:rsidRPr="00161EBF">
        <w:rPr>
          <w:rFonts w:ascii="Garamond" w:hAnsi="Garamond"/>
          <w:szCs w:val="24"/>
        </w:rPr>
        <w:t xml:space="preserve"> If the </w:t>
      </w:r>
      <w:r>
        <w:rPr>
          <w:rFonts w:ascii="Garamond" w:hAnsi="Garamond"/>
          <w:szCs w:val="24"/>
        </w:rPr>
        <w:t>Practice</w:t>
      </w:r>
      <w:r w:rsidRPr="00161EBF">
        <w:rPr>
          <w:rFonts w:ascii="Garamond" w:hAnsi="Garamond"/>
          <w:szCs w:val="24"/>
        </w:rPr>
        <w:t xml:space="preserve"> determines that notification requires urgency because of possible imminent misuse of unsecured PHI, notification may be provided by telephone or other means, as appropriate</w:t>
      </w:r>
      <w:r>
        <w:rPr>
          <w:rFonts w:ascii="Garamond" w:hAnsi="Garamond"/>
          <w:szCs w:val="24"/>
        </w:rPr>
        <w:t>,</w:t>
      </w:r>
      <w:r w:rsidRPr="00161EBF">
        <w:rPr>
          <w:rFonts w:ascii="Garamond" w:hAnsi="Garamond"/>
          <w:szCs w:val="24"/>
        </w:rPr>
        <w:t xml:space="preserve"> in addition to the methods noted above. It is the responsibility of the </w:t>
      </w:r>
      <w:r>
        <w:rPr>
          <w:rFonts w:ascii="Garamond" w:hAnsi="Garamond"/>
          <w:szCs w:val="24"/>
        </w:rPr>
        <w:t>Practice</w:t>
      </w:r>
      <w:r w:rsidRPr="00161EBF">
        <w:rPr>
          <w:rFonts w:ascii="Garamond" w:hAnsi="Garamond"/>
          <w:szCs w:val="24"/>
        </w:rPr>
        <w:t xml:space="preserve"> to demonstrate that all notifications were made as required, including evidence demonstrating the necessity of </w:t>
      </w:r>
      <w:r>
        <w:rPr>
          <w:rFonts w:ascii="Garamond" w:hAnsi="Garamond"/>
          <w:szCs w:val="24"/>
        </w:rPr>
        <w:t xml:space="preserve">any </w:t>
      </w:r>
      <w:r w:rsidRPr="00161EBF">
        <w:rPr>
          <w:rFonts w:ascii="Garamond" w:hAnsi="Garamond"/>
          <w:szCs w:val="24"/>
        </w:rPr>
        <w:t xml:space="preserve">delay. </w:t>
      </w:r>
    </w:p>
    <w:p w:rsidR="00741834" w:rsidRDefault="00741834" w:rsidP="00C247AA">
      <w:pPr>
        <w:overflowPunct/>
        <w:autoSpaceDE/>
        <w:autoSpaceDN/>
        <w:adjustRightInd/>
        <w:textAlignment w:val="auto"/>
        <w:rPr>
          <w:rFonts w:ascii="Garamond" w:hAnsi="Garamond"/>
          <w:szCs w:val="24"/>
        </w:rPr>
      </w:pPr>
    </w:p>
    <w:p w:rsidR="00741834" w:rsidRDefault="00741834" w:rsidP="00C247AA">
      <w:pPr>
        <w:rPr>
          <w:rFonts w:ascii="Garamond" w:hAnsi="Garamond"/>
          <w:szCs w:val="24"/>
        </w:rPr>
      </w:pPr>
      <w:r>
        <w:rPr>
          <w:rFonts w:ascii="Garamond" w:hAnsi="Garamond"/>
          <w:szCs w:val="24"/>
        </w:rPr>
        <w:t>[</w:t>
      </w:r>
      <w:r w:rsidRPr="00741834">
        <w:rPr>
          <w:rFonts w:ascii="Garamond" w:hAnsi="Garamond"/>
          <w:szCs w:val="24"/>
        </w:rPr>
        <w:t>A copy of all patient correspondence shall be retained by the Practice in accordance with state law record retention requirements.</w:t>
      </w:r>
      <w:r>
        <w:rPr>
          <w:rFonts w:ascii="Garamond" w:hAnsi="Garamond"/>
          <w:szCs w:val="24"/>
        </w:rPr>
        <w:t>]</w:t>
      </w:r>
    </w:p>
    <w:p w:rsidR="00741834" w:rsidRDefault="00741834" w:rsidP="00C247AA">
      <w:pPr>
        <w:rPr>
          <w:rFonts w:ascii="Garamond" w:hAnsi="Garamond"/>
          <w:szCs w:val="24"/>
        </w:rPr>
      </w:pPr>
    </w:p>
    <w:p w:rsidR="00986F14" w:rsidRPr="00161EBF" w:rsidRDefault="00C247AA" w:rsidP="00986F14">
      <w:pPr>
        <w:overflowPunct/>
        <w:autoSpaceDE/>
        <w:autoSpaceDN/>
        <w:adjustRightInd/>
        <w:textAlignment w:val="auto"/>
        <w:rPr>
          <w:rFonts w:ascii="Garamond" w:hAnsi="Garamond"/>
          <w:szCs w:val="24"/>
        </w:rPr>
      </w:pPr>
      <w:r w:rsidRPr="00C247AA">
        <w:rPr>
          <w:rFonts w:ascii="Garamond" w:hAnsi="Garamond"/>
          <w:b/>
          <w:szCs w:val="24"/>
        </w:rPr>
        <w:t>3.5</w:t>
      </w:r>
      <w:r w:rsidRPr="00C247AA">
        <w:rPr>
          <w:rFonts w:ascii="Garamond" w:hAnsi="Garamond"/>
          <w:b/>
          <w:szCs w:val="24"/>
        </w:rPr>
        <w:tab/>
      </w:r>
      <w:r w:rsidR="00602629">
        <w:rPr>
          <w:rFonts w:ascii="Garamond" w:hAnsi="Garamond"/>
          <w:b/>
          <w:szCs w:val="24"/>
          <w:u w:val="single"/>
        </w:rPr>
        <w:t>Notification:</w:t>
      </w:r>
      <w:r w:rsidR="00C77889" w:rsidRPr="00C247AA">
        <w:rPr>
          <w:rFonts w:ascii="Garamond" w:hAnsi="Garamond"/>
          <w:b/>
          <w:szCs w:val="24"/>
          <w:u w:val="single"/>
        </w:rPr>
        <w:t xml:space="preserve"> HHS</w:t>
      </w:r>
      <w:r>
        <w:rPr>
          <w:rFonts w:ascii="Garamond" w:hAnsi="Garamond"/>
          <w:szCs w:val="24"/>
        </w:rPr>
        <w:t xml:space="preserve">. </w:t>
      </w:r>
      <w:r w:rsidR="00741834" w:rsidRPr="00741834">
        <w:rPr>
          <w:rFonts w:ascii="Garamond" w:hAnsi="Garamond"/>
          <w:szCs w:val="24"/>
        </w:rPr>
        <w:t>I</w:t>
      </w:r>
      <w:r w:rsidR="00986F14" w:rsidRPr="00741834">
        <w:rPr>
          <w:rFonts w:ascii="Garamond" w:hAnsi="Garamond"/>
          <w:szCs w:val="24"/>
        </w:rPr>
        <w:t xml:space="preserve">n the event a breach of unsecured PHI </w:t>
      </w:r>
      <w:r w:rsidR="00986F14" w:rsidRPr="00551F7B">
        <w:rPr>
          <w:rFonts w:ascii="Garamond" w:hAnsi="Garamond"/>
          <w:szCs w:val="24"/>
        </w:rPr>
        <w:t xml:space="preserve">affects 500 </w:t>
      </w:r>
      <w:r w:rsidR="00366439">
        <w:rPr>
          <w:rFonts w:ascii="Garamond" w:hAnsi="Garamond"/>
          <w:szCs w:val="24"/>
        </w:rPr>
        <w:t xml:space="preserve">or more </w:t>
      </w:r>
      <w:r w:rsidR="00986F14" w:rsidRPr="00551F7B">
        <w:rPr>
          <w:rFonts w:ascii="Garamond" w:hAnsi="Garamond"/>
          <w:szCs w:val="24"/>
        </w:rPr>
        <w:t>of the Practice's patients, HHS will be notified at the same time notice is made to the affected individuals</w:t>
      </w:r>
      <w:r w:rsidR="00366439">
        <w:rPr>
          <w:rFonts w:ascii="Garamond" w:hAnsi="Garamond"/>
          <w:szCs w:val="24"/>
        </w:rPr>
        <w:t>, in the matter specified on the HHS website</w:t>
      </w:r>
      <w:r w:rsidR="00986F14" w:rsidRPr="00551F7B">
        <w:rPr>
          <w:rFonts w:ascii="Garamond" w:hAnsi="Garamond"/>
          <w:szCs w:val="24"/>
        </w:rPr>
        <w:t>.</w:t>
      </w:r>
      <w:r w:rsidR="00C77889" w:rsidRPr="00551F7B">
        <w:rPr>
          <w:rFonts w:ascii="Garamond" w:hAnsi="Garamond"/>
          <w:szCs w:val="24"/>
        </w:rPr>
        <w:t xml:space="preserve"> If </w:t>
      </w:r>
      <w:r w:rsidR="00986F14" w:rsidRPr="00551F7B">
        <w:rPr>
          <w:rFonts w:ascii="Garamond" w:hAnsi="Garamond"/>
          <w:szCs w:val="24"/>
        </w:rPr>
        <w:t>fewer</w:t>
      </w:r>
      <w:r w:rsidR="00366439">
        <w:rPr>
          <w:rFonts w:ascii="Garamond" w:hAnsi="Garamond"/>
          <w:szCs w:val="24"/>
        </w:rPr>
        <w:t xml:space="preserve"> than 500 of the Practice’s</w:t>
      </w:r>
      <w:r w:rsidR="00C77889" w:rsidRPr="00551F7B">
        <w:rPr>
          <w:rFonts w:ascii="Garamond" w:hAnsi="Garamond"/>
          <w:szCs w:val="24"/>
        </w:rPr>
        <w:t xml:space="preserve"> patients are affected, the Practice will </w:t>
      </w:r>
      <w:r w:rsidR="00986F14" w:rsidRPr="00551F7B">
        <w:rPr>
          <w:rFonts w:ascii="Garamond" w:hAnsi="Garamond"/>
          <w:szCs w:val="24"/>
        </w:rPr>
        <w:t>maintain a log of the</w:t>
      </w:r>
      <w:r w:rsidR="00C77889" w:rsidRPr="00551F7B">
        <w:rPr>
          <w:rFonts w:ascii="Garamond" w:hAnsi="Garamond"/>
          <w:szCs w:val="24"/>
        </w:rPr>
        <w:t xml:space="preserve"> breach</w:t>
      </w:r>
      <w:r w:rsidR="00986F14" w:rsidRPr="00551F7B">
        <w:rPr>
          <w:rFonts w:ascii="Garamond" w:hAnsi="Garamond"/>
          <w:szCs w:val="24"/>
        </w:rPr>
        <w:t>es</w:t>
      </w:r>
      <w:r w:rsidR="00366439">
        <w:rPr>
          <w:rFonts w:ascii="Garamond" w:hAnsi="Garamond"/>
          <w:szCs w:val="24"/>
        </w:rPr>
        <w:t xml:space="preserve"> to be </w:t>
      </w:r>
      <w:r w:rsidR="00986F14" w:rsidRPr="00741834">
        <w:rPr>
          <w:rFonts w:ascii="Garamond" w:hAnsi="Garamond"/>
          <w:szCs w:val="24"/>
        </w:rPr>
        <w:t xml:space="preserve">submitted annually to </w:t>
      </w:r>
      <w:r w:rsidR="00C77889" w:rsidRPr="00741834">
        <w:rPr>
          <w:rFonts w:ascii="Garamond" w:hAnsi="Garamond"/>
          <w:szCs w:val="24"/>
        </w:rPr>
        <w:t>the Secretary of HHS</w:t>
      </w:r>
      <w:r w:rsidR="00464AF5">
        <w:rPr>
          <w:rFonts w:ascii="Garamond" w:hAnsi="Garamond"/>
          <w:szCs w:val="24"/>
        </w:rPr>
        <w:t xml:space="preserve"> no </w:t>
      </w:r>
      <w:r w:rsidR="00366439">
        <w:rPr>
          <w:rFonts w:ascii="Garamond" w:hAnsi="Garamond"/>
          <w:szCs w:val="24"/>
        </w:rPr>
        <w:t xml:space="preserve">later than 60 days after the end of each calendar year, in the manner specific on the HHS website. The submission shall include all breaches discovered during the preceding calendar year. </w:t>
      </w:r>
    </w:p>
    <w:p w:rsidR="00C77889" w:rsidRPr="00986F14" w:rsidRDefault="00C77889" w:rsidP="00741834">
      <w:pPr>
        <w:overflowPunct/>
        <w:autoSpaceDE/>
        <w:autoSpaceDN/>
        <w:adjustRightInd/>
        <w:textAlignment w:val="auto"/>
        <w:rPr>
          <w:rFonts w:ascii="Garamond" w:hAnsi="Garamond"/>
          <w:szCs w:val="24"/>
        </w:rPr>
      </w:pPr>
    </w:p>
    <w:p w:rsidR="00C77889" w:rsidRPr="00161EBF" w:rsidRDefault="00C247AA" w:rsidP="00C77889">
      <w:pPr>
        <w:overflowPunct/>
        <w:autoSpaceDE/>
        <w:autoSpaceDN/>
        <w:adjustRightInd/>
        <w:textAlignment w:val="auto"/>
        <w:rPr>
          <w:rFonts w:ascii="Garamond" w:hAnsi="Garamond"/>
          <w:szCs w:val="24"/>
        </w:rPr>
      </w:pPr>
      <w:r w:rsidRPr="00C247AA">
        <w:rPr>
          <w:rFonts w:ascii="Garamond" w:hAnsi="Garamond"/>
          <w:b/>
          <w:szCs w:val="24"/>
        </w:rPr>
        <w:t>3.6</w:t>
      </w:r>
      <w:r w:rsidRPr="00C247AA">
        <w:rPr>
          <w:rFonts w:ascii="Garamond" w:hAnsi="Garamond"/>
          <w:b/>
          <w:szCs w:val="24"/>
        </w:rPr>
        <w:tab/>
      </w:r>
      <w:r w:rsidR="00602629">
        <w:rPr>
          <w:rFonts w:ascii="Garamond" w:hAnsi="Garamond"/>
          <w:b/>
          <w:szCs w:val="24"/>
          <w:u w:val="single"/>
        </w:rPr>
        <w:t xml:space="preserve">Notification: </w:t>
      </w:r>
      <w:r w:rsidR="00C77889" w:rsidRPr="00C247AA">
        <w:rPr>
          <w:rFonts w:ascii="Garamond" w:hAnsi="Garamond"/>
          <w:b/>
          <w:szCs w:val="24"/>
          <w:u w:val="single"/>
        </w:rPr>
        <w:t>Media</w:t>
      </w:r>
      <w:r>
        <w:rPr>
          <w:rFonts w:ascii="Garamond" w:hAnsi="Garamond"/>
          <w:szCs w:val="24"/>
        </w:rPr>
        <w:t>.</w:t>
      </w:r>
      <w:r w:rsidR="00765B4F">
        <w:rPr>
          <w:rFonts w:ascii="Garamond" w:hAnsi="Garamond"/>
          <w:szCs w:val="24"/>
        </w:rPr>
        <w:t xml:space="preserve"> </w:t>
      </w:r>
      <w:r w:rsidR="00366439">
        <w:rPr>
          <w:rFonts w:ascii="Garamond" w:hAnsi="Garamond"/>
          <w:szCs w:val="24"/>
        </w:rPr>
        <w:t>I</w:t>
      </w:r>
      <w:r w:rsidR="00741834" w:rsidRPr="00741834">
        <w:rPr>
          <w:rFonts w:ascii="Garamond" w:hAnsi="Garamond"/>
          <w:szCs w:val="24"/>
        </w:rPr>
        <w:t xml:space="preserve">n the event the breach affects more than 500 </w:t>
      </w:r>
      <w:r w:rsidR="00366439">
        <w:rPr>
          <w:rFonts w:ascii="Garamond" w:hAnsi="Garamond"/>
          <w:szCs w:val="24"/>
        </w:rPr>
        <w:t>residents of a state</w:t>
      </w:r>
      <w:r w:rsidR="00741834" w:rsidRPr="00741834">
        <w:rPr>
          <w:rFonts w:ascii="Garamond" w:hAnsi="Garamond"/>
          <w:szCs w:val="24"/>
        </w:rPr>
        <w:t>, p</w:t>
      </w:r>
      <w:r w:rsidR="00986F14" w:rsidRPr="00741834">
        <w:rPr>
          <w:rFonts w:ascii="Garamond" w:hAnsi="Garamond"/>
          <w:szCs w:val="24"/>
        </w:rPr>
        <w:t>romine</w:t>
      </w:r>
      <w:r w:rsidR="00741834" w:rsidRPr="00741834">
        <w:rPr>
          <w:rFonts w:ascii="Garamond" w:hAnsi="Garamond"/>
          <w:szCs w:val="24"/>
        </w:rPr>
        <w:t>n</w:t>
      </w:r>
      <w:r w:rsidR="00986F14" w:rsidRPr="00741834">
        <w:rPr>
          <w:rFonts w:ascii="Garamond" w:hAnsi="Garamond"/>
          <w:szCs w:val="24"/>
        </w:rPr>
        <w:t xml:space="preserve">t </w:t>
      </w:r>
      <w:r w:rsidR="00C77889" w:rsidRPr="00741834">
        <w:rPr>
          <w:rFonts w:ascii="Garamond" w:hAnsi="Garamond"/>
          <w:szCs w:val="24"/>
        </w:rPr>
        <w:t xml:space="preserve">media outlets </w:t>
      </w:r>
      <w:r w:rsidR="00986F14" w:rsidRPr="00741834">
        <w:rPr>
          <w:rFonts w:ascii="Garamond" w:hAnsi="Garamond"/>
          <w:szCs w:val="24"/>
        </w:rPr>
        <w:t xml:space="preserve">serving the state and regional area </w:t>
      </w:r>
      <w:r>
        <w:rPr>
          <w:rFonts w:ascii="Garamond" w:hAnsi="Garamond"/>
          <w:szCs w:val="24"/>
        </w:rPr>
        <w:t xml:space="preserve">will be notified </w:t>
      </w:r>
      <w:r w:rsidRPr="00161EBF">
        <w:rPr>
          <w:rFonts w:ascii="Garamond" w:hAnsi="Garamond"/>
          <w:szCs w:val="24"/>
        </w:rPr>
        <w:t>without unreasonable delay and in no case later than 60 calendar days after the discovery of the breach</w:t>
      </w:r>
      <w:r w:rsidR="00464AF5">
        <w:rPr>
          <w:rFonts w:ascii="Garamond" w:hAnsi="Garamond"/>
          <w:szCs w:val="24"/>
        </w:rPr>
        <w:t>. The n</w:t>
      </w:r>
      <w:r w:rsidR="00C77889" w:rsidRPr="00741834">
        <w:rPr>
          <w:rFonts w:ascii="Garamond" w:hAnsi="Garamond"/>
          <w:szCs w:val="24"/>
        </w:rPr>
        <w:t>otice shall be provided in the</w:t>
      </w:r>
      <w:r w:rsidR="00C77889" w:rsidRPr="00161EBF">
        <w:rPr>
          <w:rFonts w:ascii="Garamond" w:hAnsi="Garamond"/>
          <w:szCs w:val="24"/>
        </w:rPr>
        <w:t xml:space="preserve"> form of a press release.</w:t>
      </w:r>
      <w:r w:rsidR="00551F7B">
        <w:rPr>
          <w:rFonts w:ascii="Garamond" w:hAnsi="Garamond"/>
          <w:szCs w:val="24"/>
        </w:rPr>
        <w:t xml:space="preserve"> </w:t>
      </w:r>
    </w:p>
    <w:p w:rsidR="00C77889" w:rsidRPr="0017516F" w:rsidRDefault="00C77889" w:rsidP="00C77889">
      <w:pPr>
        <w:overflowPunct/>
        <w:autoSpaceDE/>
        <w:autoSpaceDN/>
        <w:adjustRightInd/>
        <w:ind w:left="720"/>
        <w:textAlignment w:val="auto"/>
        <w:rPr>
          <w:rFonts w:ascii="Garamond" w:hAnsi="Garamond"/>
          <w:szCs w:val="24"/>
          <w:highlight w:val="yellow"/>
        </w:rPr>
      </w:pPr>
    </w:p>
    <w:p w:rsidR="00161EBF" w:rsidRDefault="00C247AA" w:rsidP="00C247AA">
      <w:pPr>
        <w:overflowPunct/>
        <w:autoSpaceDE/>
        <w:autoSpaceDN/>
        <w:adjustRightInd/>
        <w:textAlignment w:val="auto"/>
        <w:rPr>
          <w:rFonts w:ascii="Garamond" w:hAnsi="Garamond"/>
          <w:szCs w:val="24"/>
        </w:rPr>
      </w:pPr>
      <w:r w:rsidRPr="00765B4F">
        <w:rPr>
          <w:rFonts w:ascii="Garamond" w:hAnsi="Garamond"/>
          <w:b/>
          <w:szCs w:val="24"/>
        </w:rPr>
        <w:t>3.7</w:t>
      </w:r>
      <w:r w:rsidRPr="00765B4F">
        <w:rPr>
          <w:rFonts w:ascii="Garamond" w:hAnsi="Garamond"/>
          <w:b/>
          <w:szCs w:val="24"/>
        </w:rPr>
        <w:tab/>
      </w:r>
      <w:r w:rsidR="00161EBF" w:rsidRPr="00765B4F">
        <w:rPr>
          <w:rFonts w:ascii="Garamond" w:hAnsi="Garamond"/>
          <w:b/>
          <w:szCs w:val="24"/>
          <w:u w:val="single"/>
        </w:rPr>
        <w:t>Delay of Notification Authori</w:t>
      </w:r>
      <w:r w:rsidRPr="00765B4F">
        <w:rPr>
          <w:rFonts w:ascii="Garamond" w:hAnsi="Garamond"/>
          <w:b/>
          <w:szCs w:val="24"/>
          <w:u w:val="single"/>
        </w:rPr>
        <w:t>zed for Law Enforcement Purposes</w:t>
      </w:r>
      <w:r>
        <w:rPr>
          <w:rFonts w:ascii="Garamond" w:hAnsi="Garamond"/>
          <w:szCs w:val="24"/>
        </w:rPr>
        <w:t>.</w:t>
      </w:r>
      <w:r w:rsidR="009A43B9" w:rsidRPr="00C247AA">
        <w:rPr>
          <w:rFonts w:ascii="Garamond" w:hAnsi="Garamond"/>
          <w:szCs w:val="24"/>
        </w:rPr>
        <w:t xml:space="preserve"> </w:t>
      </w:r>
      <w:r w:rsidR="00161EBF" w:rsidRPr="00C247AA">
        <w:rPr>
          <w:rFonts w:ascii="Garamond" w:hAnsi="Garamond"/>
          <w:szCs w:val="24"/>
        </w:rPr>
        <w:t>If a law enforcement</w:t>
      </w:r>
      <w:r w:rsidR="00161EBF" w:rsidRPr="00161EBF">
        <w:rPr>
          <w:rFonts w:ascii="Garamond" w:hAnsi="Garamond"/>
          <w:szCs w:val="24"/>
        </w:rPr>
        <w:t xml:space="preserve"> official states to the </w:t>
      </w:r>
      <w:r w:rsidR="00CA053A">
        <w:rPr>
          <w:rFonts w:ascii="Garamond" w:hAnsi="Garamond"/>
          <w:szCs w:val="24"/>
        </w:rPr>
        <w:t>Practice</w:t>
      </w:r>
      <w:r w:rsidR="00C95CB6">
        <w:rPr>
          <w:rFonts w:ascii="Garamond" w:hAnsi="Garamond"/>
          <w:szCs w:val="24"/>
        </w:rPr>
        <w:t xml:space="preserve"> or a </w:t>
      </w:r>
      <w:r w:rsidR="00602629">
        <w:rPr>
          <w:rFonts w:ascii="Garamond" w:hAnsi="Garamond"/>
          <w:szCs w:val="24"/>
        </w:rPr>
        <w:t>business associate</w:t>
      </w:r>
      <w:r w:rsidR="00161EBF" w:rsidRPr="00161EBF">
        <w:rPr>
          <w:rFonts w:ascii="Garamond" w:hAnsi="Garamond"/>
          <w:szCs w:val="24"/>
        </w:rPr>
        <w:t xml:space="preserve"> that a notification, notice, or posting would impede a criminal investigation or cause damage to national security, the </w:t>
      </w:r>
      <w:r w:rsidR="00CA053A">
        <w:rPr>
          <w:rFonts w:ascii="Garamond" w:hAnsi="Garamond"/>
          <w:szCs w:val="24"/>
        </w:rPr>
        <w:t>Practice</w:t>
      </w:r>
      <w:r w:rsidR="00161EBF" w:rsidRPr="00161EBF">
        <w:rPr>
          <w:rFonts w:ascii="Garamond" w:hAnsi="Garamond"/>
          <w:szCs w:val="24"/>
        </w:rPr>
        <w:t xml:space="preserve"> shall:</w:t>
      </w:r>
    </w:p>
    <w:p w:rsidR="00602629" w:rsidRPr="00161EBF" w:rsidRDefault="00602629" w:rsidP="00C247AA">
      <w:pPr>
        <w:overflowPunct/>
        <w:autoSpaceDE/>
        <w:autoSpaceDN/>
        <w:adjustRightInd/>
        <w:textAlignment w:val="auto"/>
        <w:rPr>
          <w:rFonts w:ascii="Garamond" w:hAnsi="Garamond"/>
          <w:szCs w:val="24"/>
        </w:rPr>
      </w:pPr>
    </w:p>
    <w:p w:rsidR="00161EBF" w:rsidRPr="00161EBF" w:rsidRDefault="00602629" w:rsidP="00602629">
      <w:pPr>
        <w:overflowPunct/>
        <w:autoSpaceDE/>
        <w:autoSpaceDN/>
        <w:adjustRightInd/>
        <w:ind w:left="720"/>
        <w:textAlignment w:val="auto"/>
        <w:rPr>
          <w:rFonts w:ascii="Garamond" w:hAnsi="Garamond"/>
          <w:szCs w:val="24"/>
        </w:rPr>
      </w:pPr>
      <w:r>
        <w:rPr>
          <w:rFonts w:ascii="Garamond" w:hAnsi="Garamond"/>
          <w:szCs w:val="24"/>
        </w:rPr>
        <w:t>3.7.1</w:t>
      </w:r>
      <w:r>
        <w:rPr>
          <w:rFonts w:ascii="Garamond" w:hAnsi="Garamond"/>
          <w:szCs w:val="24"/>
        </w:rPr>
        <w:tab/>
      </w:r>
      <w:r w:rsidR="00161EBF" w:rsidRPr="00161EBF">
        <w:rPr>
          <w:rFonts w:ascii="Garamond" w:hAnsi="Garamond"/>
          <w:szCs w:val="24"/>
        </w:rPr>
        <w:t>If the statement is in writing and specifies the time for which a delay is required, delay such not</w:t>
      </w:r>
      <w:r w:rsidR="00765B4F">
        <w:rPr>
          <w:rFonts w:ascii="Garamond" w:hAnsi="Garamond"/>
          <w:szCs w:val="24"/>
        </w:rPr>
        <w:t xml:space="preserve">ification, notice, or posting for the time </w:t>
      </w:r>
      <w:r w:rsidR="00161EBF" w:rsidRPr="00161EBF">
        <w:rPr>
          <w:rFonts w:ascii="Garamond" w:hAnsi="Garamond"/>
          <w:szCs w:val="24"/>
        </w:rPr>
        <w:t>period specified by the official; or</w:t>
      </w:r>
    </w:p>
    <w:p w:rsidR="00161EBF" w:rsidRDefault="00161EBF" w:rsidP="00602629">
      <w:pPr>
        <w:pStyle w:val="ListParagraph"/>
        <w:numPr>
          <w:ilvl w:val="2"/>
          <w:numId w:val="24"/>
        </w:numPr>
        <w:overflowPunct/>
        <w:autoSpaceDE/>
        <w:autoSpaceDN/>
        <w:adjustRightInd/>
        <w:ind w:firstLine="0"/>
        <w:textAlignment w:val="auto"/>
        <w:rPr>
          <w:rFonts w:ascii="Garamond" w:hAnsi="Garamond"/>
          <w:szCs w:val="24"/>
        </w:rPr>
      </w:pPr>
      <w:r w:rsidRPr="00602629">
        <w:rPr>
          <w:rFonts w:ascii="Garamond" w:hAnsi="Garamond"/>
          <w:szCs w:val="24"/>
        </w:rPr>
        <w:t>If the statement is made orally, document the statement, including the identify of the official making the statement, and delay the notification, notice, or posting temporarily and no longer than 30 days from the date of the oral statement, unless a written statement as described above is submitted during that time.</w:t>
      </w:r>
    </w:p>
    <w:p w:rsidR="00602629" w:rsidRPr="00602629" w:rsidRDefault="00602629" w:rsidP="00602629">
      <w:pPr>
        <w:pStyle w:val="ListParagraph"/>
        <w:overflowPunct/>
        <w:autoSpaceDE/>
        <w:autoSpaceDN/>
        <w:adjustRightInd/>
        <w:ind w:left="1440"/>
        <w:textAlignment w:val="auto"/>
        <w:rPr>
          <w:rFonts w:ascii="Garamond" w:hAnsi="Garamond"/>
          <w:szCs w:val="24"/>
        </w:rPr>
      </w:pPr>
    </w:p>
    <w:p w:rsidR="00C95CB6" w:rsidRPr="00161EBF" w:rsidRDefault="00C95CB6" w:rsidP="00765B4F">
      <w:pPr>
        <w:overflowPunct/>
        <w:autoSpaceDE/>
        <w:autoSpaceDN/>
        <w:adjustRightInd/>
        <w:textAlignment w:val="auto"/>
        <w:rPr>
          <w:rFonts w:ascii="Garamond" w:hAnsi="Garamond"/>
          <w:szCs w:val="24"/>
        </w:rPr>
      </w:pPr>
      <w:r>
        <w:rPr>
          <w:rFonts w:ascii="Garamond" w:hAnsi="Garamond"/>
          <w:szCs w:val="24"/>
        </w:rPr>
        <w:t>This applies to notices made to individuals, the media, HHS</w:t>
      </w:r>
      <w:r w:rsidR="00765B4F">
        <w:rPr>
          <w:rFonts w:ascii="Garamond" w:hAnsi="Garamond"/>
          <w:szCs w:val="24"/>
        </w:rPr>
        <w:t>,</w:t>
      </w:r>
      <w:r>
        <w:rPr>
          <w:rFonts w:ascii="Garamond" w:hAnsi="Garamond"/>
          <w:szCs w:val="24"/>
        </w:rPr>
        <w:t xml:space="preserve"> and by </w:t>
      </w:r>
      <w:r w:rsidR="00602629">
        <w:rPr>
          <w:rFonts w:ascii="Garamond" w:hAnsi="Garamond"/>
          <w:szCs w:val="24"/>
        </w:rPr>
        <w:t>business associate</w:t>
      </w:r>
      <w:r>
        <w:rPr>
          <w:rFonts w:ascii="Garamond" w:hAnsi="Garamond"/>
          <w:szCs w:val="24"/>
        </w:rPr>
        <w:t xml:space="preserve">s. </w:t>
      </w:r>
    </w:p>
    <w:p w:rsidR="00161EBF" w:rsidRPr="00161EBF" w:rsidRDefault="00161EBF" w:rsidP="00E80B3D">
      <w:pPr>
        <w:ind w:left="360"/>
        <w:rPr>
          <w:rFonts w:ascii="Garamond" w:hAnsi="Garamond"/>
          <w:szCs w:val="24"/>
        </w:rPr>
      </w:pPr>
    </w:p>
    <w:p w:rsidR="00161EBF" w:rsidRDefault="00765B4F" w:rsidP="00765B4F">
      <w:pPr>
        <w:overflowPunct/>
        <w:autoSpaceDE/>
        <w:autoSpaceDN/>
        <w:adjustRightInd/>
        <w:textAlignment w:val="auto"/>
        <w:rPr>
          <w:rFonts w:ascii="Garamond" w:hAnsi="Garamond"/>
          <w:szCs w:val="24"/>
        </w:rPr>
      </w:pPr>
      <w:r w:rsidRPr="00765B4F">
        <w:rPr>
          <w:rFonts w:ascii="Garamond" w:hAnsi="Garamond"/>
          <w:b/>
          <w:szCs w:val="24"/>
        </w:rPr>
        <w:t>3.8</w:t>
      </w:r>
      <w:r w:rsidRPr="00765B4F">
        <w:rPr>
          <w:rFonts w:ascii="Garamond" w:hAnsi="Garamond"/>
          <w:b/>
          <w:szCs w:val="24"/>
        </w:rPr>
        <w:tab/>
      </w:r>
      <w:r w:rsidR="00161EBF" w:rsidRPr="00765B4F">
        <w:rPr>
          <w:rFonts w:ascii="Garamond" w:hAnsi="Garamond"/>
          <w:b/>
          <w:szCs w:val="24"/>
          <w:u w:val="single"/>
        </w:rPr>
        <w:t>Maintenance of Breach Information</w:t>
      </w:r>
      <w:r w:rsidRPr="00765B4F">
        <w:rPr>
          <w:rFonts w:ascii="Garamond" w:hAnsi="Garamond"/>
          <w:szCs w:val="24"/>
        </w:rPr>
        <w:t>.</w:t>
      </w:r>
      <w:r w:rsidR="00161EBF" w:rsidRPr="00765B4F">
        <w:rPr>
          <w:rFonts w:ascii="Garamond" w:hAnsi="Garamond"/>
          <w:szCs w:val="24"/>
        </w:rPr>
        <w:t xml:space="preserve"> </w:t>
      </w:r>
      <w:r w:rsidR="00F578C7">
        <w:rPr>
          <w:rFonts w:ascii="Garamond" w:hAnsi="Garamond"/>
          <w:szCs w:val="24"/>
        </w:rPr>
        <w:t>T</w:t>
      </w:r>
      <w:r w:rsidR="00161EBF" w:rsidRPr="00161EBF">
        <w:rPr>
          <w:rFonts w:ascii="Garamond" w:hAnsi="Garamond"/>
          <w:szCs w:val="24"/>
        </w:rPr>
        <w:t xml:space="preserve">he </w:t>
      </w:r>
      <w:r w:rsidR="00CA053A">
        <w:rPr>
          <w:rFonts w:ascii="Garamond" w:hAnsi="Garamond"/>
          <w:szCs w:val="24"/>
        </w:rPr>
        <w:t>Practice</w:t>
      </w:r>
      <w:r w:rsidR="00161EBF" w:rsidRPr="00161EBF">
        <w:rPr>
          <w:rFonts w:ascii="Garamond" w:hAnsi="Garamond"/>
          <w:szCs w:val="24"/>
        </w:rPr>
        <w:t xml:space="preserve"> shall maintain a process to record or log all breaches of unsecured PHI</w:t>
      </w:r>
      <w:r>
        <w:rPr>
          <w:rFonts w:ascii="Garamond" w:hAnsi="Garamond"/>
          <w:szCs w:val="24"/>
        </w:rPr>
        <w:t>,</w:t>
      </w:r>
      <w:r w:rsidR="00161EBF" w:rsidRPr="00161EBF">
        <w:rPr>
          <w:rFonts w:ascii="Garamond" w:hAnsi="Garamond"/>
          <w:szCs w:val="24"/>
        </w:rPr>
        <w:t xml:space="preserve"> regardless of the number of patients affected. The following information s</w:t>
      </w:r>
      <w:r w:rsidR="009A43B9">
        <w:rPr>
          <w:rFonts w:ascii="Garamond" w:hAnsi="Garamond"/>
          <w:szCs w:val="24"/>
        </w:rPr>
        <w:t>hould be collected for each breach:</w:t>
      </w:r>
    </w:p>
    <w:p w:rsidR="00602629" w:rsidRPr="00161EBF" w:rsidRDefault="00602629" w:rsidP="00765B4F">
      <w:pPr>
        <w:overflowPunct/>
        <w:autoSpaceDE/>
        <w:autoSpaceDN/>
        <w:adjustRightInd/>
        <w:textAlignment w:val="auto"/>
        <w:rPr>
          <w:rFonts w:ascii="Garamond" w:hAnsi="Garamond"/>
          <w:szCs w:val="24"/>
        </w:rPr>
      </w:pPr>
    </w:p>
    <w:p w:rsidR="00161EBF" w:rsidRPr="00161EBF" w:rsidRDefault="00765B4F" w:rsidP="00602629">
      <w:pPr>
        <w:overflowPunct/>
        <w:autoSpaceDE/>
        <w:autoSpaceDN/>
        <w:adjustRightInd/>
        <w:ind w:left="720"/>
        <w:textAlignment w:val="auto"/>
        <w:rPr>
          <w:rFonts w:ascii="Garamond" w:hAnsi="Garamond"/>
          <w:szCs w:val="24"/>
        </w:rPr>
      </w:pPr>
      <w:r>
        <w:rPr>
          <w:rFonts w:ascii="Garamond" w:hAnsi="Garamond"/>
          <w:szCs w:val="24"/>
        </w:rPr>
        <w:t>3.8.1</w:t>
      </w:r>
      <w:r>
        <w:rPr>
          <w:rFonts w:ascii="Garamond" w:hAnsi="Garamond"/>
          <w:szCs w:val="24"/>
        </w:rPr>
        <w:tab/>
      </w:r>
      <w:r w:rsidR="00161EBF" w:rsidRPr="00161EBF">
        <w:rPr>
          <w:rFonts w:ascii="Garamond" w:hAnsi="Garamond"/>
          <w:szCs w:val="24"/>
        </w:rPr>
        <w:t>A description of what happened, including the date of the breach, the date of the discovery of the breach, and the number of patients affected, if known.</w:t>
      </w:r>
    </w:p>
    <w:p w:rsidR="00161EBF" w:rsidRPr="00161EBF" w:rsidRDefault="00A95E04" w:rsidP="00602629">
      <w:pPr>
        <w:overflowPunct/>
        <w:autoSpaceDE/>
        <w:autoSpaceDN/>
        <w:adjustRightInd/>
        <w:ind w:left="720"/>
        <w:textAlignment w:val="auto"/>
        <w:rPr>
          <w:rFonts w:ascii="Garamond" w:hAnsi="Garamond"/>
          <w:szCs w:val="24"/>
        </w:rPr>
      </w:pPr>
      <w:r>
        <w:rPr>
          <w:rFonts w:ascii="Garamond" w:hAnsi="Garamond"/>
          <w:szCs w:val="24"/>
        </w:rPr>
        <w:lastRenderedPageBreak/>
        <w:t>3.8.2</w:t>
      </w:r>
      <w:r>
        <w:rPr>
          <w:rFonts w:ascii="Garamond" w:hAnsi="Garamond"/>
          <w:szCs w:val="24"/>
        </w:rPr>
        <w:tab/>
      </w:r>
      <w:r w:rsidR="00161EBF" w:rsidRPr="00161EBF">
        <w:rPr>
          <w:rFonts w:ascii="Garamond" w:hAnsi="Garamond"/>
          <w:szCs w:val="24"/>
        </w:rPr>
        <w:t xml:space="preserve">A description of the types of unsecured protected health information that were involved in </w:t>
      </w:r>
      <w:r w:rsidR="009A43B9">
        <w:rPr>
          <w:rFonts w:ascii="Garamond" w:hAnsi="Garamond"/>
          <w:szCs w:val="24"/>
        </w:rPr>
        <w:t>the breach (such as full name, social s</w:t>
      </w:r>
      <w:r w:rsidR="00161EBF" w:rsidRPr="00161EBF">
        <w:rPr>
          <w:rFonts w:ascii="Garamond" w:hAnsi="Garamond"/>
          <w:szCs w:val="24"/>
        </w:rPr>
        <w:t xml:space="preserve">ecurity number, date of birth, home address, account number, </w:t>
      </w:r>
      <w:r w:rsidR="009A43B9">
        <w:rPr>
          <w:rFonts w:ascii="Garamond" w:hAnsi="Garamond"/>
          <w:szCs w:val="24"/>
        </w:rPr>
        <w:t>other</w:t>
      </w:r>
      <w:r w:rsidR="00161EBF" w:rsidRPr="00161EBF">
        <w:rPr>
          <w:rFonts w:ascii="Garamond" w:hAnsi="Garamond"/>
          <w:szCs w:val="24"/>
        </w:rPr>
        <w:t>).</w:t>
      </w:r>
    </w:p>
    <w:p w:rsidR="00161EBF" w:rsidRPr="00A95E04" w:rsidRDefault="00161EBF" w:rsidP="00602629">
      <w:pPr>
        <w:pStyle w:val="ListParagraph"/>
        <w:numPr>
          <w:ilvl w:val="2"/>
          <w:numId w:val="23"/>
        </w:numPr>
        <w:overflowPunct/>
        <w:autoSpaceDE/>
        <w:autoSpaceDN/>
        <w:adjustRightInd/>
        <w:ind w:firstLine="0"/>
        <w:textAlignment w:val="auto"/>
        <w:rPr>
          <w:rFonts w:ascii="Garamond" w:hAnsi="Garamond"/>
          <w:szCs w:val="24"/>
        </w:rPr>
      </w:pPr>
      <w:r w:rsidRPr="00A95E04">
        <w:rPr>
          <w:rFonts w:ascii="Garamond" w:hAnsi="Garamond"/>
          <w:szCs w:val="24"/>
        </w:rPr>
        <w:t>A description of the action taken with regard to notification of patients regarding the breach.</w:t>
      </w:r>
    </w:p>
    <w:p w:rsidR="00161EBF" w:rsidRPr="00A95E04" w:rsidRDefault="00602629" w:rsidP="00602629">
      <w:pPr>
        <w:pStyle w:val="ListParagraph"/>
        <w:numPr>
          <w:ilvl w:val="2"/>
          <w:numId w:val="23"/>
        </w:numPr>
        <w:overflowPunct/>
        <w:autoSpaceDE/>
        <w:autoSpaceDN/>
        <w:adjustRightInd/>
        <w:ind w:firstLine="0"/>
        <w:textAlignment w:val="auto"/>
        <w:rPr>
          <w:rFonts w:ascii="Garamond" w:hAnsi="Garamond"/>
          <w:szCs w:val="24"/>
        </w:rPr>
      </w:pPr>
      <w:r>
        <w:rPr>
          <w:rFonts w:ascii="Garamond" w:hAnsi="Garamond"/>
          <w:szCs w:val="24"/>
        </w:rPr>
        <w:t>S</w:t>
      </w:r>
      <w:r w:rsidR="00161EBF" w:rsidRPr="00A95E04">
        <w:rPr>
          <w:rFonts w:ascii="Garamond" w:hAnsi="Garamond"/>
          <w:szCs w:val="24"/>
        </w:rPr>
        <w:t>teps taken to mitigate the breach and prevent future occurrences.</w:t>
      </w:r>
    </w:p>
    <w:p w:rsidR="00161EBF" w:rsidRPr="00161EBF" w:rsidRDefault="00161EBF" w:rsidP="00E80B3D">
      <w:pPr>
        <w:ind w:left="360"/>
        <w:rPr>
          <w:rFonts w:ascii="Garamond" w:hAnsi="Garamond"/>
          <w:szCs w:val="24"/>
        </w:rPr>
      </w:pPr>
    </w:p>
    <w:p w:rsidR="00161EBF" w:rsidRDefault="00A95E04" w:rsidP="00A95E04">
      <w:pPr>
        <w:overflowPunct/>
        <w:autoSpaceDE/>
        <w:autoSpaceDN/>
        <w:adjustRightInd/>
        <w:textAlignment w:val="auto"/>
        <w:rPr>
          <w:rFonts w:ascii="Garamond" w:hAnsi="Garamond"/>
          <w:szCs w:val="24"/>
        </w:rPr>
      </w:pPr>
      <w:r w:rsidRPr="00A95E04">
        <w:rPr>
          <w:rFonts w:ascii="Garamond" w:hAnsi="Garamond"/>
          <w:b/>
          <w:szCs w:val="24"/>
        </w:rPr>
        <w:t>3.9</w:t>
      </w:r>
      <w:r w:rsidRPr="00A95E04">
        <w:rPr>
          <w:rFonts w:ascii="Garamond" w:hAnsi="Garamond"/>
          <w:b/>
          <w:szCs w:val="24"/>
        </w:rPr>
        <w:tab/>
      </w:r>
      <w:r w:rsidR="00602629">
        <w:rPr>
          <w:rFonts w:ascii="Garamond" w:hAnsi="Garamond"/>
          <w:b/>
          <w:szCs w:val="24"/>
          <w:u w:val="single"/>
        </w:rPr>
        <w:t>Business Associate</w:t>
      </w:r>
      <w:r w:rsidR="00161EBF" w:rsidRPr="00A95E04">
        <w:rPr>
          <w:rFonts w:ascii="Garamond" w:hAnsi="Garamond"/>
          <w:b/>
          <w:szCs w:val="24"/>
          <w:u w:val="single"/>
        </w:rPr>
        <w:t xml:space="preserve"> Responsibilities</w:t>
      </w:r>
      <w:r>
        <w:rPr>
          <w:rFonts w:ascii="Garamond" w:hAnsi="Garamond"/>
          <w:szCs w:val="24"/>
        </w:rPr>
        <w:t>.</w:t>
      </w:r>
      <w:r w:rsidR="00161EBF" w:rsidRPr="00A95E04">
        <w:rPr>
          <w:rFonts w:ascii="Garamond" w:hAnsi="Garamond"/>
          <w:szCs w:val="24"/>
        </w:rPr>
        <w:t xml:space="preserve"> </w:t>
      </w:r>
      <w:r w:rsidR="00366439" w:rsidRPr="00A95E04">
        <w:rPr>
          <w:rFonts w:ascii="Garamond" w:hAnsi="Garamond"/>
          <w:szCs w:val="24"/>
        </w:rPr>
        <w:t xml:space="preserve">The Practice’s </w:t>
      </w:r>
      <w:r w:rsidR="00602629">
        <w:rPr>
          <w:rFonts w:ascii="Garamond" w:hAnsi="Garamond"/>
          <w:szCs w:val="24"/>
        </w:rPr>
        <w:t>business associate</w:t>
      </w:r>
      <w:r w:rsidR="00366439" w:rsidRPr="00A95E04">
        <w:rPr>
          <w:rFonts w:ascii="Garamond" w:hAnsi="Garamond"/>
          <w:szCs w:val="24"/>
        </w:rPr>
        <w:t xml:space="preserve">s </w:t>
      </w:r>
      <w:r w:rsidR="00161EBF" w:rsidRPr="00A95E04">
        <w:rPr>
          <w:rFonts w:ascii="Garamond" w:hAnsi="Garamond"/>
          <w:szCs w:val="24"/>
        </w:rPr>
        <w:t>shall</w:t>
      </w:r>
      <w:r w:rsidR="00366439" w:rsidRPr="00A95E04">
        <w:rPr>
          <w:rFonts w:ascii="Garamond" w:hAnsi="Garamond"/>
          <w:szCs w:val="24"/>
        </w:rPr>
        <w:t>, without</w:t>
      </w:r>
      <w:r w:rsidR="00366439">
        <w:rPr>
          <w:rFonts w:ascii="Garamond" w:hAnsi="Garamond"/>
          <w:szCs w:val="24"/>
        </w:rPr>
        <w:t xml:space="preserve"> unreasonable delay and </w:t>
      </w:r>
      <w:r w:rsidR="00366439" w:rsidRPr="00161EBF">
        <w:rPr>
          <w:rFonts w:ascii="Garamond" w:hAnsi="Garamond"/>
          <w:szCs w:val="24"/>
        </w:rPr>
        <w:t>in no case later than 60 calendar days after discovery of a breach</w:t>
      </w:r>
      <w:r w:rsidR="00C95CB6">
        <w:rPr>
          <w:rFonts w:ascii="Garamond" w:hAnsi="Garamond"/>
          <w:szCs w:val="24"/>
        </w:rPr>
        <w:t xml:space="preserve"> of unsecured PHI</w:t>
      </w:r>
      <w:r w:rsidR="00366439">
        <w:rPr>
          <w:rFonts w:ascii="Garamond" w:hAnsi="Garamond"/>
          <w:szCs w:val="24"/>
        </w:rPr>
        <w:t xml:space="preserve">, </w:t>
      </w:r>
      <w:r w:rsidR="00161EBF" w:rsidRPr="00161EBF">
        <w:rPr>
          <w:rFonts w:ascii="Garamond" w:hAnsi="Garamond"/>
          <w:szCs w:val="24"/>
        </w:rPr>
        <w:t>notify the</w:t>
      </w:r>
      <w:r w:rsidR="009A43B9">
        <w:rPr>
          <w:rFonts w:ascii="Garamond" w:hAnsi="Garamond"/>
          <w:szCs w:val="24"/>
        </w:rPr>
        <w:t xml:space="preserve"> </w:t>
      </w:r>
      <w:r w:rsidR="00366439">
        <w:rPr>
          <w:rFonts w:ascii="Garamond" w:hAnsi="Garamond"/>
          <w:szCs w:val="24"/>
        </w:rPr>
        <w:t>Practice</w:t>
      </w:r>
      <w:r w:rsidR="009A43B9">
        <w:rPr>
          <w:rFonts w:ascii="Garamond" w:hAnsi="Garamond"/>
          <w:szCs w:val="24"/>
        </w:rPr>
        <w:t xml:space="preserve"> of </w:t>
      </w:r>
      <w:r w:rsidR="00464AF5">
        <w:rPr>
          <w:rFonts w:ascii="Garamond" w:hAnsi="Garamond"/>
          <w:szCs w:val="24"/>
        </w:rPr>
        <w:t>such</w:t>
      </w:r>
      <w:r w:rsidR="009A43B9">
        <w:rPr>
          <w:rFonts w:ascii="Garamond" w:hAnsi="Garamond"/>
          <w:szCs w:val="24"/>
        </w:rPr>
        <w:t xml:space="preserve"> breach. </w:t>
      </w:r>
      <w:r w:rsidR="00161EBF" w:rsidRPr="00161EBF">
        <w:rPr>
          <w:rFonts w:ascii="Garamond" w:hAnsi="Garamond"/>
          <w:szCs w:val="24"/>
        </w:rPr>
        <w:t xml:space="preserve">Such notice shall include the identification of each individual whose unsecured </w:t>
      </w:r>
      <w:r w:rsidR="00602629">
        <w:rPr>
          <w:rFonts w:ascii="Garamond" w:hAnsi="Garamond"/>
          <w:szCs w:val="24"/>
        </w:rPr>
        <w:t>PHI</w:t>
      </w:r>
      <w:r w:rsidR="00161EBF" w:rsidRPr="00161EBF">
        <w:rPr>
          <w:rFonts w:ascii="Garamond" w:hAnsi="Garamond"/>
          <w:szCs w:val="24"/>
        </w:rPr>
        <w:t xml:space="preserve"> has been, or </w:t>
      </w:r>
      <w:r>
        <w:rPr>
          <w:rFonts w:ascii="Garamond" w:hAnsi="Garamond"/>
          <w:szCs w:val="24"/>
        </w:rPr>
        <w:t xml:space="preserve">is reasonably believed by the </w:t>
      </w:r>
      <w:r w:rsidR="00602629">
        <w:rPr>
          <w:rFonts w:ascii="Garamond" w:hAnsi="Garamond"/>
          <w:szCs w:val="24"/>
        </w:rPr>
        <w:t>business associate</w:t>
      </w:r>
      <w:r w:rsidR="00161EBF" w:rsidRPr="00161EBF">
        <w:rPr>
          <w:rFonts w:ascii="Garamond" w:hAnsi="Garamond"/>
          <w:szCs w:val="24"/>
        </w:rPr>
        <w:t xml:space="preserve"> to have been, accessed, acquired,</w:t>
      </w:r>
      <w:r w:rsidR="009550E5">
        <w:rPr>
          <w:rFonts w:ascii="Garamond" w:hAnsi="Garamond"/>
          <w:szCs w:val="24"/>
        </w:rPr>
        <w:t xml:space="preserve"> used,</w:t>
      </w:r>
      <w:r w:rsidR="00161EBF" w:rsidRPr="00161EBF">
        <w:rPr>
          <w:rFonts w:ascii="Garamond" w:hAnsi="Garamond"/>
          <w:szCs w:val="24"/>
        </w:rPr>
        <w:t xml:space="preserve"> or discl</w:t>
      </w:r>
      <w:r w:rsidR="00602629">
        <w:rPr>
          <w:rFonts w:ascii="Garamond" w:hAnsi="Garamond"/>
          <w:szCs w:val="24"/>
        </w:rPr>
        <w:t xml:space="preserve">osed during </w:t>
      </w:r>
      <w:r w:rsidR="009550E5">
        <w:rPr>
          <w:rFonts w:ascii="Garamond" w:hAnsi="Garamond"/>
          <w:szCs w:val="24"/>
        </w:rPr>
        <w:t>the</w:t>
      </w:r>
      <w:r w:rsidR="00602629">
        <w:rPr>
          <w:rFonts w:ascii="Garamond" w:hAnsi="Garamond"/>
          <w:szCs w:val="24"/>
        </w:rPr>
        <w:t xml:space="preserve"> breach.</w:t>
      </w:r>
      <w:r>
        <w:rPr>
          <w:rFonts w:ascii="Garamond" w:hAnsi="Garamond"/>
          <w:szCs w:val="24"/>
        </w:rPr>
        <w:t xml:space="preserve"> The </w:t>
      </w:r>
      <w:r w:rsidR="00602629">
        <w:rPr>
          <w:rFonts w:ascii="Garamond" w:hAnsi="Garamond"/>
          <w:szCs w:val="24"/>
        </w:rPr>
        <w:t>business associate</w:t>
      </w:r>
      <w:r w:rsidR="00161EBF" w:rsidRPr="00161EBF">
        <w:rPr>
          <w:rFonts w:ascii="Garamond" w:hAnsi="Garamond"/>
          <w:szCs w:val="24"/>
        </w:rPr>
        <w:t xml:space="preserve"> shall provide the </w:t>
      </w:r>
      <w:r w:rsidR="00CA053A">
        <w:rPr>
          <w:rFonts w:ascii="Garamond" w:hAnsi="Garamond"/>
          <w:szCs w:val="24"/>
        </w:rPr>
        <w:t>Practice</w:t>
      </w:r>
      <w:r w:rsidR="00161EBF" w:rsidRPr="00161EBF">
        <w:rPr>
          <w:rFonts w:ascii="Garamond" w:hAnsi="Garamond"/>
          <w:szCs w:val="24"/>
        </w:rPr>
        <w:t xml:space="preserve"> with any other available information that the </w:t>
      </w:r>
      <w:r w:rsidR="00CA053A">
        <w:rPr>
          <w:rFonts w:ascii="Garamond" w:hAnsi="Garamond"/>
          <w:szCs w:val="24"/>
        </w:rPr>
        <w:t>Practice</w:t>
      </w:r>
      <w:r w:rsidR="00161EBF" w:rsidRPr="00161EBF">
        <w:rPr>
          <w:rFonts w:ascii="Garamond" w:hAnsi="Garamond"/>
          <w:szCs w:val="24"/>
        </w:rPr>
        <w:t xml:space="preserve"> is required to include in notification to the individual at the time of the notification or promptly thereafter as </w:t>
      </w:r>
      <w:r w:rsidR="009A43B9">
        <w:rPr>
          <w:rFonts w:ascii="Garamond" w:hAnsi="Garamond"/>
          <w:szCs w:val="24"/>
        </w:rPr>
        <w:t xml:space="preserve">information becomes available. </w:t>
      </w:r>
      <w:r>
        <w:rPr>
          <w:rFonts w:ascii="Garamond" w:hAnsi="Garamond"/>
          <w:szCs w:val="24"/>
        </w:rPr>
        <w:t xml:space="preserve">Upon notification by the </w:t>
      </w:r>
      <w:r w:rsidR="00602629">
        <w:rPr>
          <w:rFonts w:ascii="Garamond" w:hAnsi="Garamond"/>
          <w:szCs w:val="24"/>
        </w:rPr>
        <w:t>business associate</w:t>
      </w:r>
      <w:r w:rsidR="00161EBF" w:rsidRPr="00161EBF">
        <w:rPr>
          <w:rFonts w:ascii="Garamond" w:hAnsi="Garamond"/>
          <w:szCs w:val="24"/>
        </w:rPr>
        <w:t xml:space="preserve"> of discovery of a breach, the </w:t>
      </w:r>
      <w:r w:rsidR="00CA053A">
        <w:rPr>
          <w:rFonts w:ascii="Garamond" w:hAnsi="Garamond"/>
          <w:szCs w:val="24"/>
        </w:rPr>
        <w:t>Practice</w:t>
      </w:r>
      <w:r w:rsidR="00161EBF" w:rsidRPr="00161EBF">
        <w:rPr>
          <w:rFonts w:ascii="Garamond" w:hAnsi="Garamond"/>
          <w:szCs w:val="24"/>
        </w:rPr>
        <w:t xml:space="preserve"> will be responsible for notifying affected individuals, unless</w:t>
      </w:r>
      <w:r>
        <w:rPr>
          <w:rFonts w:ascii="Garamond" w:hAnsi="Garamond"/>
          <w:szCs w:val="24"/>
        </w:rPr>
        <w:t xml:space="preserve"> otherwise agreed upon by the </w:t>
      </w:r>
      <w:r w:rsidR="00602629">
        <w:rPr>
          <w:rFonts w:ascii="Garamond" w:hAnsi="Garamond"/>
          <w:szCs w:val="24"/>
        </w:rPr>
        <w:t>business associate</w:t>
      </w:r>
      <w:r w:rsidR="00161EBF" w:rsidRPr="00161EBF">
        <w:rPr>
          <w:rFonts w:ascii="Garamond" w:hAnsi="Garamond"/>
          <w:szCs w:val="24"/>
        </w:rPr>
        <w:t xml:space="preserve"> to </w:t>
      </w:r>
      <w:r w:rsidR="009A43B9">
        <w:rPr>
          <w:rFonts w:ascii="Garamond" w:hAnsi="Garamond"/>
          <w:szCs w:val="24"/>
        </w:rPr>
        <w:t>notify the affected individuals</w:t>
      </w:r>
      <w:r w:rsidR="000F485C">
        <w:rPr>
          <w:rFonts w:ascii="Garamond" w:hAnsi="Garamond"/>
          <w:szCs w:val="24"/>
        </w:rPr>
        <w:t>. [</w:t>
      </w:r>
      <w:r w:rsidR="009A43B9">
        <w:rPr>
          <w:rFonts w:ascii="Garamond" w:hAnsi="Garamond"/>
          <w:szCs w:val="24"/>
        </w:rPr>
        <w:t>Clarify who is responsible for notification, cost</w:t>
      </w:r>
      <w:r>
        <w:rPr>
          <w:rFonts w:ascii="Garamond" w:hAnsi="Garamond"/>
          <w:szCs w:val="24"/>
        </w:rPr>
        <w:t xml:space="preserve"> of such</w:t>
      </w:r>
      <w:r w:rsidR="009A43B9">
        <w:rPr>
          <w:rFonts w:ascii="Garamond" w:hAnsi="Garamond"/>
          <w:szCs w:val="24"/>
        </w:rPr>
        <w:t>, etc.]</w:t>
      </w:r>
    </w:p>
    <w:p w:rsidR="00A95E04" w:rsidRDefault="00A95E04" w:rsidP="00A95E04">
      <w:pPr>
        <w:overflowPunct/>
        <w:autoSpaceDE/>
        <w:autoSpaceDN/>
        <w:adjustRightInd/>
        <w:textAlignment w:val="auto"/>
        <w:rPr>
          <w:rFonts w:ascii="Garamond" w:hAnsi="Garamond"/>
          <w:szCs w:val="24"/>
        </w:rPr>
      </w:pPr>
    </w:p>
    <w:p w:rsidR="00161EBF" w:rsidRPr="00161EBF" w:rsidRDefault="00191D79" w:rsidP="00191D79">
      <w:pPr>
        <w:overflowPunct/>
        <w:autoSpaceDE/>
        <w:autoSpaceDN/>
        <w:adjustRightInd/>
        <w:textAlignment w:val="auto"/>
        <w:rPr>
          <w:rFonts w:ascii="Garamond" w:hAnsi="Garamond"/>
          <w:szCs w:val="24"/>
        </w:rPr>
      </w:pPr>
      <w:r w:rsidRPr="00191D79">
        <w:rPr>
          <w:rFonts w:ascii="Garamond" w:hAnsi="Garamond"/>
          <w:b/>
          <w:szCs w:val="24"/>
        </w:rPr>
        <w:t>3.10</w:t>
      </w:r>
      <w:r w:rsidRPr="00191D79">
        <w:rPr>
          <w:rFonts w:ascii="Garamond" w:hAnsi="Garamond"/>
          <w:b/>
          <w:szCs w:val="24"/>
        </w:rPr>
        <w:tab/>
      </w:r>
      <w:r w:rsidR="00161EBF" w:rsidRPr="00191D79">
        <w:rPr>
          <w:rFonts w:ascii="Garamond" w:hAnsi="Garamond"/>
          <w:b/>
          <w:szCs w:val="24"/>
          <w:u w:val="single"/>
        </w:rPr>
        <w:t>Workforce Training</w:t>
      </w:r>
      <w:r>
        <w:rPr>
          <w:rFonts w:ascii="Garamond" w:hAnsi="Garamond"/>
          <w:szCs w:val="24"/>
        </w:rPr>
        <w:t>.</w:t>
      </w:r>
      <w:r w:rsidR="009A43B9" w:rsidRPr="00191D79">
        <w:rPr>
          <w:rFonts w:ascii="Garamond" w:hAnsi="Garamond"/>
          <w:szCs w:val="24"/>
        </w:rPr>
        <w:t xml:space="preserve"> </w:t>
      </w:r>
      <w:r w:rsidR="00161EBF" w:rsidRPr="00191D79">
        <w:rPr>
          <w:rFonts w:ascii="Garamond" w:hAnsi="Garamond"/>
          <w:szCs w:val="24"/>
        </w:rPr>
        <w:t xml:space="preserve">The </w:t>
      </w:r>
      <w:r w:rsidR="00CA053A" w:rsidRPr="00191D79">
        <w:rPr>
          <w:rFonts w:ascii="Garamond" w:hAnsi="Garamond"/>
          <w:szCs w:val="24"/>
        </w:rPr>
        <w:t>Practice</w:t>
      </w:r>
      <w:r w:rsidR="00161EBF" w:rsidRPr="00191D79">
        <w:rPr>
          <w:rFonts w:ascii="Garamond" w:hAnsi="Garamond"/>
          <w:szCs w:val="24"/>
        </w:rPr>
        <w:t xml:space="preserve"> shall train all members of its workforce</w:t>
      </w:r>
      <w:r w:rsidR="00B635BD">
        <w:rPr>
          <w:rFonts w:ascii="Garamond" w:hAnsi="Garamond"/>
          <w:szCs w:val="24"/>
        </w:rPr>
        <w:t xml:space="preserve"> on</w:t>
      </w:r>
      <w:r w:rsidR="00161EBF" w:rsidRPr="00191D79">
        <w:rPr>
          <w:rFonts w:ascii="Garamond" w:hAnsi="Garamond"/>
          <w:szCs w:val="24"/>
        </w:rPr>
        <w:t xml:space="preserve"> </w:t>
      </w:r>
      <w:r w:rsidR="00B635BD">
        <w:rPr>
          <w:rFonts w:ascii="Garamond" w:hAnsi="Garamond"/>
          <w:szCs w:val="24"/>
        </w:rPr>
        <w:t>the Practice’s</w:t>
      </w:r>
      <w:r w:rsidR="00161EBF" w:rsidRPr="00191D79">
        <w:rPr>
          <w:rFonts w:ascii="Garamond" w:hAnsi="Garamond"/>
          <w:szCs w:val="24"/>
        </w:rPr>
        <w:t xml:space="preserve"> policies</w:t>
      </w:r>
      <w:r w:rsidR="00161EBF" w:rsidRPr="00161EBF">
        <w:rPr>
          <w:rFonts w:ascii="Garamond" w:hAnsi="Garamond"/>
          <w:szCs w:val="24"/>
        </w:rPr>
        <w:t xml:space="preserve"> and procedures with respect to PHI as necessary and appropriate for the members to carry o</w:t>
      </w:r>
      <w:r w:rsidR="009A43B9">
        <w:rPr>
          <w:rFonts w:ascii="Garamond" w:hAnsi="Garamond"/>
          <w:szCs w:val="24"/>
        </w:rPr>
        <w:t xml:space="preserve">ut their job responsibilities. </w:t>
      </w:r>
      <w:r w:rsidR="00161EBF" w:rsidRPr="00161EBF">
        <w:rPr>
          <w:rFonts w:ascii="Garamond" w:hAnsi="Garamond"/>
          <w:szCs w:val="24"/>
        </w:rPr>
        <w:t xml:space="preserve">Workforce members shall also be trained as to how to identify and report breaches within the </w:t>
      </w:r>
      <w:r w:rsidR="00CA053A">
        <w:rPr>
          <w:rFonts w:ascii="Garamond" w:hAnsi="Garamond"/>
          <w:szCs w:val="24"/>
        </w:rPr>
        <w:t>Practice</w:t>
      </w:r>
      <w:r w:rsidR="00161EBF" w:rsidRPr="00161EBF">
        <w:rPr>
          <w:rFonts w:ascii="Garamond" w:hAnsi="Garamond"/>
          <w:szCs w:val="24"/>
        </w:rPr>
        <w:t>.</w:t>
      </w:r>
      <w:r w:rsidR="00B635BD">
        <w:rPr>
          <w:rFonts w:ascii="Garamond" w:hAnsi="Garamond"/>
          <w:szCs w:val="24"/>
        </w:rPr>
        <w:t xml:space="preserve"> [Describe how the Practice trains its workforce – frequency, means, other.]</w:t>
      </w:r>
    </w:p>
    <w:p w:rsidR="00161EBF" w:rsidRPr="00161EBF" w:rsidRDefault="00161EBF" w:rsidP="00E80B3D">
      <w:pPr>
        <w:rPr>
          <w:rFonts w:ascii="Garamond" w:hAnsi="Garamond"/>
          <w:szCs w:val="24"/>
        </w:rPr>
      </w:pPr>
    </w:p>
    <w:p w:rsidR="00161EBF" w:rsidRPr="00161EBF" w:rsidRDefault="00B635BD" w:rsidP="00B635BD">
      <w:pPr>
        <w:overflowPunct/>
        <w:autoSpaceDE/>
        <w:autoSpaceDN/>
        <w:adjustRightInd/>
        <w:textAlignment w:val="auto"/>
        <w:rPr>
          <w:rFonts w:ascii="Garamond" w:hAnsi="Garamond"/>
          <w:szCs w:val="24"/>
        </w:rPr>
      </w:pPr>
      <w:r w:rsidRPr="00B635BD">
        <w:rPr>
          <w:rFonts w:ascii="Garamond" w:hAnsi="Garamond"/>
          <w:b/>
          <w:szCs w:val="24"/>
        </w:rPr>
        <w:t>3.11</w:t>
      </w:r>
      <w:r w:rsidRPr="00B635BD">
        <w:rPr>
          <w:rFonts w:ascii="Garamond" w:hAnsi="Garamond"/>
          <w:b/>
          <w:szCs w:val="24"/>
        </w:rPr>
        <w:tab/>
      </w:r>
      <w:r w:rsidR="00161EBF" w:rsidRPr="00B635BD">
        <w:rPr>
          <w:rFonts w:ascii="Garamond" w:hAnsi="Garamond"/>
          <w:b/>
          <w:szCs w:val="24"/>
          <w:u w:val="single"/>
        </w:rPr>
        <w:t>Complaints</w:t>
      </w:r>
      <w:r>
        <w:rPr>
          <w:rFonts w:ascii="Garamond" w:hAnsi="Garamond"/>
          <w:szCs w:val="24"/>
        </w:rPr>
        <w:t>.</w:t>
      </w:r>
      <w:r w:rsidR="009A43B9" w:rsidRPr="00B635BD">
        <w:rPr>
          <w:rFonts w:ascii="Garamond" w:hAnsi="Garamond"/>
          <w:szCs w:val="24"/>
        </w:rPr>
        <w:t xml:space="preserve"> </w:t>
      </w:r>
      <w:r w:rsidR="00161EBF" w:rsidRPr="00B635BD">
        <w:rPr>
          <w:rFonts w:ascii="Garamond" w:hAnsi="Garamond"/>
          <w:szCs w:val="24"/>
        </w:rPr>
        <w:t xml:space="preserve">The </w:t>
      </w:r>
      <w:r w:rsidR="00CA053A" w:rsidRPr="00B635BD">
        <w:rPr>
          <w:rFonts w:ascii="Garamond" w:hAnsi="Garamond"/>
          <w:szCs w:val="24"/>
        </w:rPr>
        <w:t>Practice</w:t>
      </w:r>
      <w:r w:rsidR="00161EBF" w:rsidRPr="00B635BD">
        <w:rPr>
          <w:rFonts w:ascii="Garamond" w:hAnsi="Garamond"/>
          <w:szCs w:val="24"/>
        </w:rPr>
        <w:t xml:space="preserve"> provide</w:t>
      </w:r>
      <w:r w:rsidR="00F578C7">
        <w:rPr>
          <w:rFonts w:ascii="Garamond" w:hAnsi="Garamond"/>
          <w:szCs w:val="24"/>
        </w:rPr>
        <w:t>s</w:t>
      </w:r>
      <w:r w:rsidR="00161EBF" w:rsidRPr="00B635BD">
        <w:rPr>
          <w:rFonts w:ascii="Garamond" w:hAnsi="Garamond"/>
          <w:szCs w:val="24"/>
        </w:rPr>
        <w:t xml:space="preserve"> a process for individuals to make complaints</w:t>
      </w:r>
      <w:r w:rsidR="00161EBF" w:rsidRPr="00161EBF">
        <w:rPr>
          <w:rFonts w:ascii="Garamond" w:hAnsi="Garamond"/>
          <w:szCs w:val="24"/>
        </w:rPr>
        <w:t xml:space="preserve"> concerning the </w:t>
      </w:r>
      <w:r w:rsidR="00CA053A">
        <w:rPr>
          <w:rFonts w:ascii="Garamond" w:hAnsi="Garamond"/>
          <w:szCs w:val="24"/>
        </w:rPr>
        <w:t>Practice</w:t>
      </w:r>
      <w:r w:rsidR="00161EBF" w:rsidRPr="00161EBF">
        <w:rPr>
          <w:rFonts w:ascii="Garamond" w:hAnsi="Garamond"/>
          <w:szCs w:val="24"/>
        </w:rPr>
        <w:t xml:space="preserve">’s patient privacy policies and procedures or its compliance with </w:t>
      </w:r>
      <w:r w:rsidR="009A43B9">
        <w:rPr>
          <w:rFonts w:ascii="Garamond" w:hAnsi="Garamond"/>
          <w:szCs w:val="24"/>
        </w:rPr>
        <w:t xml:space="preserve">such policies and procedures. </w:t>
      </w:r>
      <w:r>
        <w:rPr>
          <w:rFonts w:ascii="Garamond" w:hAnsi="Garamond"/>
          <w:szCs w:val="24"/>
        </w:rPr>
        <w:t>Individuals also h</w:t>
      </w:r>
      <w:r w:rsidR="00161EBF" w:rsidRPr="00161EBF">
        <w:rPr>
          <w:rFonts w:ascii="Garamond" w:hAnsi="Garamond"/>
          <w:szCs w:val="24"/>
        </w:rPr>
        <w:t xml:space="preserve">ave the right to complain about the </w:t>
      </w:r>
      <w:r w:rsidR="00CA053A">
        <w:rPr>
          <w:rFonts w:ascii="Garamond" w:hAnsi="Garamond"/>
          <w:szCs w:val="24"/>
        </w:rPr>
        <w:t>Practice</w:t>
      </w:r>
      <w:r w:rsidR="00161EBF" w:rsidRPr="00161EBF">
        <w:rPr>
          <w:rFonts w:ascii="Garamond" w:hAnsi="Garamond"/>
          <w:szCs w:val="24"/>
        </w:rPr>
        <w:t>’s breach notification processes.</w:t>
      </w:r>
      <w:r>
        <w:rPr>
          <w:rFonts w:ascii="Garamond" w:hAnsi="Garamond"/>
          <w:szCs w:val="24"/>
        </w:rPr>
        <w:t xml:space="preserve"> [Describe process or refer to separate complaint process document.]</w:t>
      </w:r>
    </w:p>
    <w:p w:rsidR="00161EBF" w:rsidRPr="00161EBF" w:rsidRDefault="00161EBF" w:rsidP="00E80B3D">
      <w:pPr>
        <w:rPr>
          <w:rFonts w:ascii="Garamond" w:hAnsi="Garamond"/>
          <w:szCs w:val="24"/>
        </w:rPr>
      </w:pPr>
    </w:p>
    <w:p w:rsidR="000B5B50" w:rsidRPr="003E651A" w:rsidRDefault="00B635BD" w:rsidP="00B635BD">
      <w:pPr>
        <w:overflowPunct/>
        <w:autoSpaceDE/>
        <w:autoSpaceDN/>
        <w:adjustRightInd/>
        <w:textAlignment w:val="auto"/>
        <w:rPr>
          <w:rFonts w:ascii="Garamond" w:hAnsi="Garamond"/>
          <w:szCs w:val="24"/>
        </w:rPr>
      </w:pPr>
      <w:r w:rsidRPr="00B635BD">
        <w:rPr>
          <w:rFonts w:ascii="Garamond" w:hAnsi="Garamond"/>
          <w:b/>
          <w:szCs w:val="24"/>
        </w:rPr>
        <w:t>3.12</w:t>
      </w:r>
      <w:r w:rsidRPr="00B635BD">
        <w:rPr>
          <w:rFonts w:ascii="Garamond" w:hAnsi="Garamond"/>
          <w:b/>
          <w:szCs w:val="24"/>
        </w:rPr>
        <w:tab/>
      </w:r>
      <w:r w:rsidRPr="00B635BD">
        <w:rPr>
          <w:rFonts w:ascii="Garamond" w:hAnsi="Garamond"/>
          <w:b/>
          <w:szCs w:val="24"/>
          <w:u w:val="single"/>
        </w:rPr>
        <w:t>S</w:t>
      </w:r>
      <w:r w:rsidR="00161EBF" w:rsidRPr="00B635BD">
        <w:rPr>
          <w:rFonts w:ascii="Garamond" w:hAnsi="Garamond"/>
          <w:b/>
          <w:szCs w:val="24"/>
          <w:u w:val="single"/>
        </w:rPr>
        <w:t>anctions</w:t>
      </w:r>
      <w:r>
        <w:rPr>
          <w:rFonts w:ascii="Garamond" w:hAnsi="Garamond"/>
          <w:szCs w:val="24"/>
        </w:rPr>
        <w:t xml:space="preserve">. </w:t>
      </w:r>
      <w:r w:rsidR="003E651A" w:rsidRPr="00B635BD">
        <w:rPr>
          <w:rFonts w:ascii="Garamond" w:hAnsi="Garamond"/>
          <w:szCs w:val="24"/>
        </w:rPr>
        <w:t xml:space="preserve">Members of the </w:t>
      </w:r>
      <w:r w:rsidR="000B5B50" w:rsidRPr="00B635BD">
        <w:rPr>
          <w:rFonts w:ascii="Garamond" w:hAnsi="Garamond"/>
          <w:szCs w:val="24"/>
        </w:rPr>
        <w:t>Practice</w:t>
      </w:r>
      <w:r w:rsidR="009A43B9" w:rsidRPr="00B635BD">
        <w:rPr>
          <w:rFonts w:ascii="Garamond" w:hAnsi="Garamond"/>
          <w:szCs w:val="24"/>
        </w:rPr>
        <w:t>’s workforce</w:t>
      </w:r>
      <w:r w:rsidR="000B5B50" w:rsidRPr="00B635BD">
        <w:rPr>
          <w:rFonts w:ascii="Garamond" w:hAnsi="Garamond"/>
          <w:szCs w:val="24"/>
        </w:rPr>
        <w:t xml:space="preserve"> who fail to comply with this policy shall be</w:t>
      </w:r>
      <w:r w:rsidR="000B5B50" w:rsidRPr="009A43B9">
        <w:rPr>
          <w:rFonts w:ascii="Garamond" w:hAnsi="Garamond"/>
          <w:szCs w:val="24"/>
        </w:rPr>
        <w:t xml:space="preserve"> subject to disciplinary action, u</w:t>
      </w:r>
      <w:r w:rsidR="003E651A">
        <w:rPr>
          <w:rFonts w:ascii="Garamond" w:hAnsi="Garamond"/>
          <w:szCs w:val="24"/>
        </w:rPr>
        <w:t>p to and including termination.</w:t>
      </w:r>
    </w:p>
    <w:p w:rsidR="00161EBF" w:rsidRPr="00161EBF" w:rsidRDefault="00161EBF" w:rsidP="00E80B3D">
      <w:pPr>
        <w:rPr>
          <w:rFonts w:ascii="Garamond" w:hAnsi="Garamond"/>
          <w:szCs w:val="24"/>
        </w:rPr>
      </w:pPr>
    </w:p>
    <w:p w:rsidR="00161EBF" w:rsidRDefault="00B635BD" w:rsidP="00B635BD">
      <w:pPr>
        <w:overflowPunct/>
        <w:autoSpaceDE/>
        <w:autoSpaceDN/>
        <w:adjustRightInd/>
        <w:textAlignment w:val="auto"/>
        <w:rPr>
          <w:rFonts w:ascii="Garamond" w:hAnsi="Garamond"/>
          <w:szCs w:val="24"/>
        </w:rPr>
      </w:pPr>
      <w:r w:rsidRPr="00B635BD">
        <w:rPr>
          <w:rFonts w:ascii="Garamond" w:hAnsi="Garamond"/>
          <w:b/>
          <w:szCs w:val="24"/>
        </w:rPr>
        <w:t>3.13</w:t>
      </w:r>
      <w:r w:rsidRPr="00B635BD">
        <w:rPr>
          <w:rFonts w:ascii="Garamond" w:hAnsi="Garamond"/>
          <w:b/>
          <w:szCs w:val="24"/>
        </w:rPr>
        <w:tab/>
      </w:r>
      <w:r w:rsidR="00161EBF" w:rsidRPr="00B635BD">
        <w:rPr>
          <w:rFonts w:ascii="Garamond" w:hAnsi="Garamond"/>
          <w:b/>
          <w:szCs w:val="24"/>
          <w:u w:val="single"/>
        </w:rPr>
        <w:t>Retaliation/Waiver</w:t>
      </w:r>
      <w:r>
        <w:rPr>
          <w:rFonts w:ascii="Garamond" w:hAnsi="Garamond"/>
          <w:szCs w:val="24"/>
        </w:rPr>
        <w:t xml:space="preserve">. </w:t>
      </w:r>
      <w:r w:rsidR="00161EBF" w:rsidRPr="00B635BD">
        <w:rPr>
          <w:rFonts w:ascii="Garamond" w:hAnsi="Garamond"/>
          <w:szCs w:val="24"/>
        </w:rPr>
        <w:t xml:space="preserve">The </w:t>
      </w:r>
      <w:r w:rsidR="00CA053A" w:rsidRPr="00B635BD">
        <w:rPr>
          <w:rFonts w:ascii="Garamond" w:hAnsi="Garamond"/>
          <w:szCs w:val="24"/>
        </w:rPr>
        <w:t>Practice</w:t>
      </w:r>
      <w:r w:rsidR="00161EBF" w:rsidRPr="00B635BD">
        <w:rPr>
          <w:rFonts w:ascii="Garamond" w:hAnsi="Garamond"/>
          <w:szCs w:val="24"/>
        </w:rPr>
        <w:t xml:space="preserve"> may not intimidate, threaten, coerce, discriminate against,</w:t>
      </w:r>
      <w:r w:rsidR="00161EBF" w:rsidRPr="00161EBF">
        <w:rPr>
          <w:rFonts w:ascii="Garamond" w:hAnsi="Garamond"/>
          <w:szCs w:val="24"/>
        </w:rPr>
        <w:t xml:space="preserve"> or take other retaliatory action against any individual for </w:t>
      </w:r>
      <w:r w:rsidR="009550E5">
        <w:rPr>
          <w:rFonts w:ascii="Garamond" w:hAnsi="Garamond"/>
          <w:szCs w:val="24"/>
        </w:rPr>
        <w:t>exercising his or her</w:t>
      </w:r>
      <w:r w:rsidR="003E651A">
        <w:rPr>
          <w:rFonts w:ascii="Garamond" w:hAnsi="Garamond"/>
          <w:szCs w:val="24"/>
        </w:rPr>
        <w:t xml:space="preserve"> privacy right</w:t>
      </w:r>
      <w:r w:rsidR="009550E5">
        <w:rPr>
          <w:rFonts w:ascii="Garamond" w:hAnsi="Garamond"/>
          <w:szCs w:val="24"/>
        </w:rPr>
        <w:t>s</w:t>
      </w:r>
      <w:r w:rsidR="003E651A">
        <w:rPr>
          <w:rFonts w:ascii="Garamond" w:hAnsi="Garamond"/>
          <w:szCs w:val="24"/>
        </w:rPr>
        <w:t xml:space="preserve">. </w:t>
      </w:r>
      <w:r w:rsidR="009550E5">
        <w:rPr>
          <w:rFonts w:ascii="Garamond" w:hAnsi="Garamond"/>
          <w:szCs w:val="24"/>
        </w:rPr>
        <w:t>Individuals shall not be</w:t>
      </w:r>
      <w:r w:rsidR="00161EBF" w:rsidRPr="00161EBF">
        <w:rPr>
          <w:rFonts w:ascii="Garamond" w:hAnsi="Garamond"/>
          <w:szCs w:val="24"/>
        </w:rPr>
        <w:t xml:space="preserve"> require</w:t>
      </w:r>
      <w:r w:rsidR="009550E5">
        <w:rPr>
          <w:rFonts w:ascii="Garamond" w:hAnsi="Garamond"/>
          <w:szCs w:val="24"/>
        </w:rPr>
        <w:t>d</w:t>
      </w:r>
      <w:r w:rsidR="00161EBF" w:rsidRPr="00161EBF">
        <w:rPr>
          <w:rFonts w:ascii="Garamond" w:hAnsi="Garamond"/>
          <w:szCs w:val="24"/>
        </w:rPr>
        <w:t xml:space="preserve"> to waive their privacy rights as a condition of the provision of treatment, payment, enrollment in a health plan, or eligibility for benefits.</w:t>
      </w:r>
    </w:p>
    <w:p w:rsidR="00B635BD" w:rsidRPr="00161EBF" w:rsidRDefault="00B635BD" w:rsidP="00B635BD">
      <w:pPr>
        <w:overflowPunct/>
        <w:autoSpaceDE/>
        <w:autoSpaceDN/>
        <w:adjustRightInd/>
        <w:textAlignment w:val="auto"/>
        <w:rPr>
          <w:rFonts w:ascii="Garamond" w:hAnsi="Garamond"/>
          <w:szCs w:val="24"/>
        </w:rPr>
      </w:pPr>
    </w:p>
    <w:p w:rsidR="004013BA" w:rsidRPr="00B635BD" w:rsidRDefault="00B635BD" w:rsidP="00B635BD">
      <w:pPr>
        <w:overflowPunct/>
        <w:autoSpaceDE/>
        <w:autoSpaceDN/>
        <w:adjustRightInd/>
        <w:textAlignment w:val="auto"/>
        <w:rPr>
          <w:rFonts w:ascii="Garamond" w:hAnsi="Garamond"/>
          <w:szCs w:val="24"/>
        </w:rPr>
      </w:pPr>
      <w:r w:rsidRPr="00B635BD">
        <w:rPr>
          <w:rFonts w:ascii="Garamond" w:hAnsi="Garamond"/>
          <w:b/>
          <w:szCs w:val="24"/>
        </w:rPr>
        <w:t>3.14</w:t>
      </w:r>
      <w:r w:rsidRPr="00B635BD">
        <w:rPr>
          <w:rFonts w:ascii="Garamond" w:hAnsi="Garamond"/>
          <w:b/>
          <w:szCs w:val="24"/>
        </w:rPr>
        <w:tab/>
      </w:r>
      <w:r w:rsidR="004013BA" w:rsidRPr="00B635BD">
        <w:rPr>
          <w:rFonts w:ascii="Garamond" w:hAnsi="Garamond"/>
          <w:b/>
          <w:szCs w:val="24"/>
          <w:u w:val="single"/>
        </w:rPr>
        <w:t>Burden of Proof</w:t>
      </w:r>
      <w:r w:rsidR="004013BA" w:rsidRPr="00B635BD">
        <w:rPr>
          <w:rFonts w:ascii="Garamond" w:hAnsi="Garamond"/>
          <w:szCs w:val="24"/>
        </w:rPr>
        <w:t xml:space="preserve">. The Practice has the burden of proof for demonstrating that all notifications were made as required or that the use or disclosure did not constitute a breach. </w:t>
      </w:r>
    </w:p>
    <w:sectPr w:rsidR="004013BA" w:rsidRPr="00B635BD" w:rsidSect="009E51C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AF5" w:rsidRDefault="00464AF5" w:rsidP="00161EBF">
      <w:r>
        <w:separator/>
      </w:r>
    </w:p>
  </w:endnote>
  <w:endnote w:type="continuationSeparator" w:id="0">
    <w:p w:rsidR="00464AF5" w:rsidRDefault="00464AF5" w:rsidP="00161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AF5" w:rsidRDefault="00464AF5" w:rsidP="00161EBF">
      <w:r>
        <w:separator/>
      </w:r>
    </w:p>
  </w:footnote>
  <w:footnote w:type="continuationSeparator" w:id="0">
    <w:p w:rsidR="00464AF5" w:rsidRDefault="00464AF5" w:rsidP="00161E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0BB0"/>
    <w:multiLevelType w:val="multilevel"/>
    <w:tmpl w:val="28F80720"/>
    <w:lvl w:ilvl="0">
      <w:start w:val="3"/>
      <w:numFmt w:val="decimal"/>
      <w:lvlText w:val="%1"/>
      <w:lvlJc w:val="left"/>
      <w:pPr>
        <w:ind w:left="480" w:hanging="48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9F1010E"/>
    <w:multiLevelType w:val="hybridMultilevel"/>
    <w:tmpl w:val="3A1EF0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016ACC"/>
    <w:multiLevelType w:val="multilevel"/>
    <w:tmpl w:val="A492E586"/>
    <w:lvl w:ilvl="0">
      <w:start w:val="3"/>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8424537"/>
    <w:multiLevelType w:val="multilevel"/>
    <w:tmpl w:val="0AE2C4BE"/>
    <w:lvl w:ilvl="0">
      <w:start w:val="3"/>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2A5D38"/>
    <w:multiLevelType w:val="multilevel"/>
    <w:tmpl w:val="D48A5D5A"/>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F634953"/>
    <w:multiLevelType w:val="multilevel"/>
    <w:tmpl w:val="D48A5D5A"/>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FF36B0C"/>
    <w:multiLevelType w:val="hybridMultilevel"/>
    <w:tmpl w:val="E0803E1E"/>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7">
    <w:nsid w:val="20825A4F"/>
    <w:multiLevelType w:val="hybridMultilevel"/>
    <w:tmpl w:val="8C52CD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97C349E"/>
    <w:multiLevelType w:val="multilevel"/>
    <w:tmpl w:val="A59247F4"/>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3455540A"/>
    <w:multiLevelType w:val="hybridMultilevel"/>
    <w:tmpl w:val="2714814A"/>
    <w:lvl w:ilvl="0" w:tplc="1E8EA7EA">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52C9F"/>
    <w:multiLevelType w:val="hybridMultilevel"/>
    <w:tmpl w:val="11B4A516"/>
    <w:lvl w:ilvl="0" w:tplc="6ADE4D24">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280B27"/>
    <w:multiLevelType w:val="hybridMultilevel"/>
    <w:tmpl w:val="D64818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7C11D6"/>
    <w:multiLevelType w:val="hybridMultilevel"/>
    <w:tmpl w:val="D3F8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787691"/>
    <w:multiLevelType w:val="hybridMultilevel"/>
    <w:tmpl w:val="B3F8C1EE"/>
    <w:lvl w:ilvl="0" w:tplc="6ADE4D24">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B619BD"/>
    <w:multiLevelType w:val="multilevel"/>
    <w:tmpl w:val="B746A5DE"/>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700"/>
        </w:tabs>
        <w:ind w:left="2700" w:hanging="72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B857F6C"/>
    <w:multiLevelType w:val="hybridMultilevel"/>
    <w:tmpl w:val="44C0E6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E37AC1"/>
    <w:multiLevelType w:val="hybridMultilevel"/>
    <w:tmpl w:val="6D248E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075439"/>
    <w:multiLevelType w:val="hybridMultilevel"/>
    <w:tmpl w:val="B656A3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B264A3"/>
    <w:multiLevelType w:val="multilevel"/>
    <w:tmpl w:val="D48A5D5A"/>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5FBD26B8"/>
    <w:multiLevelType w:val="hybridMultilevel"/>
    <w:tmpl w:val="B9EAF64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9B18C1"/>
    <w:multiLevelType w:val="hybridMultilevel"/>
    <w:tmpl w:val="9EEE88D8"/>
    <w:lvl w:ilvl="0" w:tplc="EEB2C77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661431"/>
    <w:multiLevelType w:val="multilevel"/>
    <w:tmpl w:val="D48A5D5A"/>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688A454C"/>
    <w:multiLevelType w:val="hybridMultilevel"/>
    <w:tmpl w:val="86ACE0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6D42FD"/>
    <w:multiLevelType w:val="hybridMultilevel"/>
    <w:tmpl w:val="ADE0FD92"/>
    <w:lvl w:ilvl="0" w:tplc="6ADE4D24">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3"/>
  </w:num>
  <w:num w:numId="4">
    <w:abstractNumId w:val="12"/>
  </w:num>
  <w:num w:numId="5">
    <w:abstractNumId w:val="7"/>
  </w:num>
  <w:num w:numId="6">
    <w:abstractNumId w:val="1"/>
  </w:num>
  <w:num w:numId="7">
    <w:abstractNumId w:val="17"/>
  </w:num>
  <w:num w:numId="8">
    <w:abstractNumId w:val="16"/>
  </w:num>
  <w:num w:numId="9">
    <w:abstractNumId w:val="11"/>
  </w:num>
  <w:num w:numId="10">
    <w:abstractNumId w:val="14"/>
  </w:num>
  <w:num w:numId="11">
    <w:abstractNumId w:val="13"/>
  </w:num>
  <w:num w:numId="12">
    <w:abstractNumId w:val="10"/>
  </w:num>
  <w:num w:numId="13">
    <w:abstractNumId w:val="15"/>
  </w:num>
  <w:num w:numId="14">
    <w:abstractNumId w:val="19"/>
  </w:num>
  <w:num w:numId="15">
    <w:abstractNumId w:val="22"/>
  </w:num>
  <w:num w:numId="16">
    <w:abstractNumId w:val="4"/>
  </w:num>
  <w:num w:numId="17">
    <w:abstractNumId w:val="21"/>
  </w:num>
  <w:num w:numId="18">
    <w:abstractNumId w:val="20"/>
  </w:num>
  <w:num w:numId="19">
    <w:abstractNumId w:val="18"/>
  </w:num>
  <w:num w:numId="20">
    <w:abstractNumId w:val="8"/>
  </w:num>
  <w:num w:numId="21">
    <w:abstractNumId w:val="9"/>
  </w:num>
  <w:num w:numId="22">
    <w:abstractNumId w:val="0"/>
  </w:num>
  <w:num w:numId="23">
    <w:abstractNumId w:val="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D2236"/>
    <w:rsid w:val="000602CF"/>
    <w:rsid w:val="000803E8"/>
    <w:rsid w:val="000B5B50"/>
    <w:rsid w:val="000F4601"/>
    <w:rsid w:val="000F485C"/>
    <w:rsid w:val="00154EAB"/>
    <w:rsid w:val="00161EBF"/>
    <w:rsid w:val="00162A18"/>
    <w:rsid w:val="0017516F"/>
    <w:rsid w:val="00191D79"/>
    <w:rsid w:val="0020063B"/>
    <w:rsid w:val="00294752"/>
    <w:rsid w:val="002C6580"/>
    <w:rsid w:val="003571C5"/>
    <w:rsid w:val="00366439"/>
    <w:rsid w:val="00392DC4"/>
    <w:rsid w:val="00397E06"/>
    <w:rsid w:val="003E651A"/>
    <w:rsid w:val="004013BA"/>
    <w:rsid w:val="004479C6"/>
    <w:rsid w:val="00464AF5"/>
    <w:rsid w:val="00467F16"/>
    <w:rsid w:val="00551F7B"/>
    <w:rsid w:val="005D2236"/>
    <w:rsid w:val="005E37A0"/>
    <w:rsid w:val="005F6179"/>
    <w:rsid w:val="00602629"/>
    <w:rsid w:val="006054FE"/>
    <w:rsid w:val="00645852"/>
    <w:rsid w:val="00675ECB"/>
    <w:rsid w:val="006A6BA8"/>
    <w:rsid w:val="00741834"/>
    <w:rsid w:val="00765B4F"/>
    <w:rsid w:val="007A384B"/>
    <w:rsid w:val="00826CEA"/>
    <w:rsid w:val="0088499E"/>
    <w:rsid w:val="00891EE0"/>
    <w:rsid w:val="009550E5"/>
    <w:rsid w:val="00986F14"/>
    <w:rsid w:val="009A43B9"/>
    <w:rsid w:val="009A46AC"/>
    <w:rsid w:val="009E0070"/>
    <w:rsid w:val="009E51C8"/>
    <w:rsid w:val="00A95E04"/>
    <w:rsid w:val="00B0271B"/>
    <w:rsid w:val="00B635BD"/>
    <w:rsid w:val="00C247AA"/>
    <w:rsid w:val="00C77889"/>
    <w:rsid w:val="00C93674"/>
    <w:rsid w:val="00C95CB6"/>
    <w:rsid w:val="00CA053A"/>
    <w:rsid w:val="00D923BC"/>
    <w:rsid w:val="00DD1B5A"/>
    <w:rsid w:val="00E55F6D"/>
    <w:rsid w:val="00E80B3D"/>
    <w:rsid w:val="00EC30B6"/>
    <w:rsid w:val="00EE0F4D"/>
    <w:rsid w:val="00F026A1"/>
    <w:rsid w:val="00F57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2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2236"/>
    <w:rPr>
      <w:color w:val="0000FF"/>
      <w:u w:val="single"/>
    </w:rPr>
  </w:style>
  <w:style w:type="paragraph" w:styleId="ListParagraph">
    <w:name w:val="List Paragraph"/>
    <w:basedOn w:val="Normal"/>
    <w:uiPriority w:val="34"/>
    <w:qFormat/>
    <w:rsid w:val="005D2236"/>
    <w:pPr>
      <w:ind w:left="720"/>
    </w:pPr>
  </w:style>
  <w:style w:type="paragraph" w:styleId="NormalWeb">
    <w:name w:val="Normal (Web)"/>
    <w:basedOn w:val="Normal"/>
    <w:rsid w:val="00467F16"/>
    <w:pPr>
      <w:overflowPunct/>
      <w:autoSpaceDE/>
      <w:autoSpaceDN/>
      <w:adjustRightInd/>
      <w:textAlignment w:val="auto"/>
    </w:pPr>
    <w:rPr>
      <w:szCs w:val="24"/>
    </w:rPr>
  </w:style>
  <w:style w:type="character" w:styleId="Strong">
    <w:name w:val="Strong"/>
    <w:basedOn w:val="DefaultParagraphFont"/>
    <w:qFormat/>
    <w:rsid w:val="00467F16"/>
    <w:rPr>
      <w:b/>
      <w:bCs/>
    </w:rPr>
  </w:style>
  <w:style w:type="paragraph" w:styleId="HTMLPreformatted">
    <w:name w:val="HTML Preformatted"/>
    <w:basedOn w:val="Normal"/>
    <w:link w:val="HTMLPreformattedChar"/>
    <w:rsid w:val="0016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rsid w:val="00161EBF"/>
    <w:rPr>
      <w:rFonts w:ascii="Courier New" w:eastAsia="Times New Roman" w:hAnsi="Courier New" w:cs="Courier New"/>
      <w:sz w:val="20"/>
      <w:szCs w:val="20"/>
    </w:rPr>
  </w:style>
  <w:style w:type="paragraph" w:styleId="Header">
    <w:name w:val="header"/>
    <w:basedOn w:val="Normal"/>
    <w:link w:val="HeaderChar"/>
    <w:rsid w:val="00161EBF"/>
    <w:pPr>
      <w:tabs>
        <w:tab w:val="center" w:pos="4320"/>
        <w:tab w:val="right" w:pos="8640"/>
      </w:tabs>
      <w:overflowPunct/>
      <w:autoSpaceDE/>
      <w:autoSpaceDN/>
      <w:adjustRightInd/>
      <w:textAlignment w:val="auto"/>
    </w:pPr>
    <w:rPr>
      <w:szCs w:val="24"/>
    </w:rPr>
  </w:style>
  <w:style w:type="character" w:customStyle="1" w:styleId="HeaderChar">
    <w:name w:val="Header Char"/>
    <w:basedOn w:val="DefaultParagraphFont"/>
    <w:link w:val="Header"/>
    <w:rsid w:val="00161EBF"/>
    <w:rPr>
      <w:rFonts w:ascii="Times New Roman" w:eastAsia="Times New Roman" w:hAnsi="Times New Roman" w:cs="Times New Roman"/>
      <w:sz w:val="24"/>
      <w:szCs w:val="24"/>
    </w:rPr>
  </w:style>
  <w:style w:type="paragraph" w:styleId="Footer">
    <w:name w:val="footer"/>
    <w:basedOn w:val="Normal"/>
    <w:link w:val="FooterChar"/>
    <w:rsid w:val="00161EBF"/>
    <w:pPr>
      <w:tabs>
        <w:tab w:val="center" w:pos="4320"/>
        <w:tab w:val="right" w:pos="8640"/>
      </w:tabs>
      <w:overflowPunct/>
      <w:autoSpaceDE/>
      <w:autoSpaceDN/>
      <w:adjustRightInd/>
      <w:textAlignment w:val="auto"/>
    </w:pPr>
    <w:rPr>
      <w:szCs w:val="24"/>
    </w:rPr>
  </w:style>
  <w:style w:type="character" w:customStyle="1" w:styleId="FooterChar">
    <w:name w:val="Footer Char"/>
    <w:basedOn w:val="DefaultParagraphFont"/>
    <w:link w:val="Footer"/>
    <w:rsid w:val="00161EBF"/>
    <w:rPr>
      <w:rFonts w:ascii="Times New Roman" w:eastAsia="Times New Roman" w:hAnsi="Times New Roman" w:cs="Times New Roman"/>
      <w:sz w:val="24"/>
      <w:szCs w:val="24"/>
    </w:rPr>
  </w:style>
  <w:style w:type="character" w:styleId="PageNumber">
    <w:name w:val="page number"/>
    <w:basedOn w:val="DefaultParagraphFont"/>
    <w:rsid w:val="00161EBF"/>
  </w:style>
  <w:style w:type="paragraph" w:styleId="BodyText">
    <w:name w:val="Body Text"/>
    <w:basedOn w:val="Normal"/>
    <w:link w:val="BodyTextChar"/>
    <w:rsid w:val="00161EBF"/>
    <w:pPr>
      <w:overflowPunct/>
      <w:autoSpaceDE/>
      <w:autoSpaceDN/>
      <w:adjustRightInd/>
      <w:jc w:val="both"/>
      <w:textAlignment w:val="auto"/>
    </w:pPr>
    <w:rPr>
      <w:szCs w:val="24"/>
    </w:rPr>
  </w:style>
  <w:style w:type="character" w:customStyle="1" w:styleId="BodyTextChar">
    <w:name w:val="Body Text Char"/>
    <w:basedOn w:val="DefaultParagraphFont"/>
    <w:link w:val="BodyText"/>
    <w:rsid w:val="00161EBF"/>
    <w:rPr>
      <w:rFonts w:ascii="Times New Roman" w:eastAsia="Times New Roman" w:hAnsi="Times New Roman" w:cs="Times New Roman"/>
      <w:sz w:val="24"/>
      <w:szCs w:val="24"/>
    </w:rPr>
  </w:style>
  <w:style w:type="paragraph" w:styleId="FootnoteText">
    <w:name w:val="footnote text"/>
    <w:basedOn w:val="Normal"/>
    <w:link w:val="FootnoteTextChar"/>
    <w:semiHidden/>
    <w:rsid w:val="00161EBF"/>
    <w:pPr>
      <w:overflowPunct/>
      <w:autoSpaceDE/>
      <w:autoSpaceDN/>
      <w:adjustRightInd/>
      <w:textAlignment w:val="auto"/>
    </w:pPr>
    <w:rPr>
      <w:sz w:val="20"/>
    </w:rPr>
  </w:style>
  <w:style w:type="character" w:customStyle="1" w:styleId="FootnoteTextChar">
    <w:name w:val="Footnote Text Char"/>
    <w:basedOn w:val="DefaultParagraphFont"/>
    <w:link w:val="FootnoteText"/>
    <w:semiHidden/>
    <w:rsid w:val="00161EBF"/>
    <w:rPr>
      <w:rFonts w:ascii="Times New Roman" w:eastAsia="Times New Roman" w:hAnsi="Times New Roman" w:cs="Times New Roman"/>
      <w:sz w:val="20"/>
      <w:szCs w:val="20"/>
    </w:rPr>
  </w:style>
  <w:style w:type="character" w:styleId="FootnoteReference">
    <w:name w:val="footnote reference"/>
    <w:basedOn w:val="DefaultParagraphFont"/>
    <w:semiHidden/>
    <w:rsid w:val="00161EBF"/>
    <w:rPr>
      <w:vertAlign w:val="superscript"/>
    </w:rPr>
  </w:style>
  <w:style w:type="paragraph" w:styleId="EndnoteText">
    <w:name w:val="endnote text"/>
    <w:basedOn w:val="Normal"/>
    <w:link w:val="EndnoteTextChar"/>
    <w:semiHidden/>
    <w:rsid w:val="00161EBF"/>
    <w:pPr>
      <w:widowControl w:val="0"/>
      <w:overflowPunct/>
      <w:autoSpaceDE/>
      <w:autoSpaceDN/>
      <w:adjustRightInd/>
      <w:textAlignment w:val="auto"/>
    </w:pPr>
    <w:rPr>
      <w:rFonts w:ascii="Courier New" w:hAnsi="Courier New"/>
      <w:snapToGrid w:val="0"/>
    </w:rPr>
  </w:style>
  <w:style w:type="character" w:customStyle="1" w:styleId="EndnoteTextChar">
    <w:name w:val="Endnote Text Char"/>
    <w:basedOn w:val="DefaultParagraphFont"/>
    <w:link w:val="EndnoteText"/>
    <w:semiHidden/>
    <w:rsid w:val="00161EBF"/>
    <w:rPr>
      <w:rFonts w:ascii="Courier New" w:eastAsia="Times New Roman" w:hAnsi="Courier New" w:cs="Times New Roman"/>
      <w:snapToGrid w:val="0"/>
      <w:sz w:val="24"/>
      <w:szCs w:val="20"/>
    </w:rPr>
  </w:style>
  <w:style w:type="paragraph" w:styleId="PlainText">
    <w:name w:val="Plain Text"/>
    <w:basedOn w:val="Normal"/>
    <w:link w:val="PlainTextChar"/>
    <w:rsid w:val="00161EBF"/>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rsid w:val="00161EB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6</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17571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kwittcho</dc:creator>
  <cp:keywords/>
  <dc:description/>
  <cp:lastModifiedBy>kwittcho</cp:lastModifiedBy>
  <cp:revision>17</cp:revision>
  <dcterms:created xsi:type="dcterms:W3CDTF">2013-09-20T21:30:00Z</dcterms:created>
  <dcterms:modified xsi:type="dcterms:W3CDTF">2013-09-21T05:16:00Z</dcterms:modified>
</cp:coreProperties>
</file>